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CB78" w14:textId="25057D9B" w:rsidR="009F6861" w:rsidRPr="00B418B8" w:rsidRDefault="00460E9B" w:rsidP="00521F14">
      <w:pPr>
        <w:spacing w:after="0" w:line="480" w:lineRule="exact"/>
        <w:jc w:val="both"/>
        <w:rPr>
          <w:rFonts w:ascii="標楷體" w:eastAsia="標楷體" w:hAnsi="標楷體"/>
          <w:b/>
          <w:sz w:val="32"/>
          <w:szCs w:val="32"/>
        </w:rPr>
      </w:pPr>
      <w:r w:rsidRPr="00904E32">
        <w:rPr>
          <w:rFonts w:ascii="標楷體" w:eastAsia="標楷體" w:hAnsi="標楷體" w:cs="Times New Roman" w:hint="eastAsia"/>
          <w:b/>
          <w:bCs/>
          <w:sz w:val="38"/>
          <w:szCs w:val="38"/>
          <w14:ligatures w14:val="none"/>
        </w:rPr>
        <w:t>高雄市國家賠償案件</w:t>
      </w:r>
      <w:proofErr w:type="gramStart"/>
      <w:r w:rsidRPr="00904E32">
        <w:rPr>
          <w:rFonts w:ascii="標楷體" w:eastAsia="標楷體" w:hAnsi="標楷體" w:cs="Times New Roman" w:hint="eastAsia"/>
          <w:b/>
          <w:bCs/>
          <w:sz w:val="38"/>
          <w:szCs w:val="38"/>
          <w14:ligatures w14:val="none"/>
        </w:rPr>
        <w:t>——</w:t>
      </w:r>
      <w:proofErr w:type="gramEnd"/>
      <w:r w:rsidRPr="00904E32">
        <w:rPr>
          <w:rFonts w:ascii="標楷體" w:eastAsia="標楷體" w:hAnsi="標楷體" w:cs="Times New Roman" w:hint="eastAsia"/>
          <w:b/>
          <w:bCs/>
          <w:sz w:val="38"/>
          <w:szCs w:val="38"/>
          <w14:ligatures w14:val="none"/>
        </w:rPr>
        <w:t>性別暴力議題之統計分析</w:t>
      </w:r>
      <w:proofErr w:type="gramStart"/>
      <w:r w:rsidRPr="00904E32">
        <w:rPr>
          <w:rFonts w:ascii="標楷體" w:eastAsia="標楷體" w:hAnsi="標楷體" w:cs="Times New Roman" w:hint="eastAsia"/>
          <w:b/>
          <w:bCs/>
          <w:sz w:val="38"/>
          <w:szCs w:val="38"/>
          <w14:ligatures w14:val="none"/>
        </w:rPr>
        <w:t>（</w:t>
      </w:r>
      <w:proofErr w:type="gramEnd"/>
      <w:r w:rsidRPr="00904E32">
        <w:rPr>
          <w:rFonts w:ascii="標楷體" w:eastAsia="標楷體" w:hAnsi="標楷體" w:cs="Times New Roman" w:hint="eastAsia"/>
          <w:b/>
          <w:bCs/>
          <w:sz w:val="38"/>
          <w:szCs w:val="38"/>
          <w14:ligatures w14:val="none"/>
        </w:rPr>
        <w:t>109－113 年）</w:t>
      </w:r>
      <w:r w:rsidRPr="00904E32">
        <w:rPr>
          <w:rFonts w:ascii="標楷體" w:eastAsia="標楷體" w:hAnsi="標楷體" w:cs="Times New Roman" w:hint="eastAsia"/>
          <w:b/>
          <w:bCs/>
          <w:sz w:val="38"/>
          <w:szCs w:val="38"/>
          <w14:ligatures w14:val="none"/>
        </w:rPr>
        <w:br/>
      </w:r>
      <w:r w:rsidRPr="00460E9B">
        <w:rPr>
          <w:rFonts w:hint="eastAsia"/>
        </w:rPr>
        <w:br/>
      </w:r>
      <w:r w:rsidR="009F6861" w:rsidRPr="00B418B8">
        <w:rPr>
          <w:rFonts w:ascii="標楷體" w:eastAsia="標楷體" w:hAnsi="標楷體"/>
          <w:b/>
          <w:sz w:val="32"/>
          <w:szCs w:val="32"/>
        </w:rPr>
        <w:t>一、前言</w:t>
      </w:r>
    </w:p>
    <w:p w14:paraId="4A6BD525" w14:textId="5B6D04B3" w:rsidR="00155BDA" w:rsidRDefault="001F0416" w:rsidP="00521F14">
      <w:pPr>
        <w:spacing w:after="0" w:line="480" w:lineRule="exact"/>
        <w:ind w:left="1280" w:hangingChars="400" w:hanging="1280"/>
        <w:jc w:val="both"/>
        <w:rPr>
          <w:rFonts w:ascii="標楷體" w:eastAsia="標楷體" w:hAnsi="標楷體" w:cs="Times New Roman"/>
          <w:sz w:val="32"/>
          <w:szCs w:val="32"/>
          <w14:ligatures w14:val="none"/>
        </w:rPr>
      </w:pPr>
      <w:r>
        <w:rPr>
          <w:rFonts w:ascii="標楷體" w:eastAsia="標楷體" w:hAnsi="標楷體" w:cs="Times New Roman" w:hint="eastAsia"/>
          <w:sz w:val="32"/>
          <w:szCs w:val="32"/>
          <w14:ligatures w14:val="none"/>
        </w:rPr>
        <w:t xml:space="preserve">　</w:t>
      </w:r>
      <w:r w:rsidR="00155BDA" w:rsidRPr="00224CC5">
        <w:rPr>
          <w:rFonts w:ascii="標楷體" w:eastAsia="標楷體" w:hAnsi="標楷體" w:cs="Times New Roman" w:hint="eastAsia"/>
          <w:sz w:val="32"/>
          <w:szCs w:val="32"/>
          <w14:ligatures w14:val="none"/>
        </w:rPr>
        <w:t>(</w:t>
      </w:r>
      <w:proofErr w:type="gramStart"/>
      <w:r w:rsidR="00155BDA" w:rsidRPr="00224CC5">
        <w:rPr>
          <w:rFonts w:ascii="標楷體" w:eastAsia="標楷體" w:hAnsi="標楷體" w:cs="Times New Roman" w:hint="eastAsia"/>
          <w:sz w:val="32"/>
          <w:szCs w:val="32"/>
          <w14:ligatures w14:val="none"/>
        </w:rPr>
        <w:t>一</w:t>
      </w:r>
      <w:proofErr w:type="gramEnd"/>
      <w:r w:rsidR="00155BDA" w:rsidRPr="00224CC5">
        <w:rPr>
          <w:rFonts w:ascii="標楷體" w:eastAsia="標楷體" w:hAnsi="標楷體" w:cs="Times New Roman" w:hint="eastAsia"/>
          <w:sz w:val="32"/>
          <w:szCs w:val="32"/>
          <w14:ligatures w14:val="none"/>
        </w:rPr>
        <w:t>)</w:t>
      </w:r>
      <w:r w:rsidR="00155BDA" w:rsidRPr="00224CC5">
        <w:rPr>
          <w:rFonts w:ascii="標楷體" w:eastAsia="標楷體" w:hAnsi="標楷體" w:cs="Times New Roman"/>
          <w:sz w:val="32"/>
          <w:szCs w:val="32"/>
          <w14:ligatures w14:val="none"/>
        </w:rPr>
        <w:t>撰</w:t>
      </w:r>
      <w:proofErr w:type="gramStart"/>
      <w:r w:rsidR="00155BDA" w:rsidRPr="00224CC5">
        <w:rPr>
          <w:rFonts w:ascii="標楷體" w:eastAsia="標楷體" w:hAnsi="標楷體" w:cs="Times New Roman"/>
          <w:sz w:val="32"/>
          <w:szCs w:val="32"/>
          <w14:ligatures w14:val="none"/>
        </w:rPr>
        <w:t>研</w:t>
      </w:r>
      <w:proofErr w:type="gramEnd"/>
      <w:r w:rsidR="00155BDA" w:rsidRPr="00224CC5">
        <w:rPr>
          <w:rFonts w:ascii="標楷體" w:eastAsia="標楷體" w:hAnsi="標楷體" w:cs="Times New Roman"/>
          <w:sz w:val="32"/>
          <w:szCs w:val="32"/>
          <w14:ligatures w14:val="none"/>
        </w:rPr>
        <w:t>動機：</w:t>
      </w:r>
    </w:p>
    <w:p w14:paraId="4ADB6B4A" w14:textId="0B8E3EEE" w:rsidR="009F6861" w:rsidRDefault="006C121E" w:rsidP="000C10E3">
      <w:pPr>
        <w:spacing w:after="0" w:line="480" w:lineRule="exact"/>
        <w:ind w:leftChars="400" w:left="960"/>
        <w:jc w:val="both"/>
        <w:rPr>
          <w:rFonts w:ascii="標楷體" w:eastAsia="標楷體" w:hAnsi="標楷體" w:cs="Times New Roman"/>
          <w:sz w:val="32"/>
          <w:szCs w:val="32"/>
          <w14:ligatures w14:val="none"/>
        </w:rPr>
      </w:pPr>
      <w:r>
        <w:rPr>
          <w:rFonts w:ascii="標楷體" w:eastAsia="標楷體" w:hAnsi="標楷體" w:cs="Times New Roman" w:hint="eastAsia"/>
          <w:sz w:val="32"/>
          <w:szCs w:val="32"/>
          <w14:ligatures w14:val="none"/>
        </w:rPr>
        <w:t xml:space="preserve">　　</w:t>
      </w:r>
      <w:r w:rsidRPr="006C121E">
        <w:rPr>
          <w:rFonts w:ascii="標楷體" w:eastAsia="標楷體" w:hAnsi="標楷體" w:cs="Times New Roman"/>
          <w:sz w:val="32"/>
          <w:szCs w:val="32"/>
          <w14:ligatures w14:val="none"/>
        </w:rPr>
        <w:t>為因應國際人權標準與社會性別議題的發展趨勢，我國自100年行政院頒布《性別平等政策綱領》以來，已將性別平等作為國家政策發展的核心價值。110年修正後的政策綱領，明確將「消除基於性別的暴力」列為核心目標之一，強調建立有效的防治網絡、加強觀念宣導、修訂相關法規措施，以實現性別友善社會與安全無虞的生活環境。另一方面，</w:t>
      </w:r>
      <w:r w:rsidR="00313823" w:rsidRPr="00313823">
        <w:rPr>
          <w:rFonts w:ascii="標楷體" w:eastAsia="標楷體" w:hAnsi="標楷體" w:cs="Times New Roman" w:hint="eastAsia"/>
          <w:sz w:val="32"/>
          <w:szCs w:val="32"/>
          <w14:ligatures w14:val="none"/>
        </w:rPr>
        <w:t>依</w:t>
      </w:r>
      <w:r w:rsidR="00317088" w:rsidRPr="006C121E">
        <w:rPr>
          <w:rFonts w:ascii="標楷體" w:eastAsia="標楷體" w:hAnsi="標楷體" w:cs="Times New Roman"/>
          <w:sz w:val="32"/>
          <w:szCs w:val="32"/>
          <w14:ligatures w14:val="none"/>
        </w:rPr>
        <w:t>聯合國</w:t>
      </w:r>
      <w:r w:rsidR="006160CA" w:rsidRPr="006C121E">
        <w:rPr>
          <w:rFonts w:ascii="標楷體" w:eastAsia="標楷體" w:hAnsi="標楷體" w:cs="Times New Roman"/>
          <w:sz w:val="32"/>
          <w:szCs w:val="32"/>
          <w14:ligatures w14:val="none"/>
        </w:rPr>
        <w:t>《消除對婦女一切形式歧視公約》</w:t>
      </w:r>
      <w:r w:rsidR="00313823" w:rsidRPr="00313823">
        <w:rPr>
          <w:rFonts w:ascii="標楷體" w:eastAsia="標楷體" w:hAnsi="標楷體" w:cs="Times New Roman"/>
          <w:sz w:val="32"/>
          <w:szCs w:val="32"/>
          <w14:ligatures w14:val="none"/>
        </w:rPr>
        <w:t>(CEDAW)</w:t>
      </w:r>
      <w:r w:rsidR="00313823" w:rsidRPr="00313823">
        <w:rPr>
          <w:rFonts w:ascii="標楷體" w:eastAsia="標楷體" w:hAnsi="標楷體" w:cs="Times New Roman" w:hint="eastAsia"/>
          <w:sz w:val="32"/>
          <w:szCs w:val="32"/>
          <w14:ligatures w14:val="none"/>
        </w:rPr>
        <w:t>第</w:t>
      </w:r>
      <w:r w:rsidR="0092371A">
        <w:rPr>
          <w:rFonts w:ascii="標楷體" w:eastAsia="標楷體" w:hAnsi="標楷體" w:cs="Times New Roman" w:hint="eastAsia"/>
          <w:sz w:val="32"/>
          <w:szCs w:val="32"/>
          <w14:ligatures w14:val="none"/>
        </w:rPr>
        <w:t>3</w:t>
      </w:r>
      <w:r w:rsidR="00313823" w:rsidRPr="00313823">
        <w:rPr>
          <w:rFonts w:ascii="標楷體" w:eastAsia="標楷體" w:hAnsi="標楷體" w:cs="Times New Roman" w:hint="eastAsia"/>
          <w:sz w:val="32"/>
          <w:szCs w:val="32"/>
          <w14:ligatures w14:val="none"/>
        </w:rPr>
        <w:t>條規定</w:t>
      </w:r>
      <w:r w:rsidR="00CD1C3C">
        <w:rPr>
          <w:rFonts w:ascii="標楷體" w:eastAsia="標楷體" w:hAnsi="標楷體" w:cs="Times New Roman" w:hint="eastAsia"/>
          <w:sz w:val="32"/>
          <w:szCs w:val="32"/>
          <w14:ligatures w14:val="none"/>
        </w:rPr>
        <w:t>，</w:t>
      </w:r>
      <w:r w:rsidR="00313823" w:rsidRPr="00313823">
        <w:rPr>
          <w:rFonts w:ascii="標楷體" w:eastAsia="標楷體" w:hAnsi="標楷體" w:cs="Times New Roman" w:hint="eastAsia"/>
          <w:sz w:val="32"/>
          <w:szCs w:val="32"/>
          <w14:ligatures w14:val="none"/>
        </w:rPr>
        <w:t>應為婦女確立與男子平等權利的法律保護，以確保婦女在與男子平等的基礎上，行使和享有人權</w:t>
      </w:r>
      <w:r w:rsidR="00C21421" w:rsidRPr="00313823">
        <w:rPr>
          <w:rFonts w:ascii="標楷體" w:eastAsia="標楷體" w:hAnsi="標楷體" w:cs="Times New Roman" w:hint="eastAsia"/>
          <w:sz w:val="32"/>
          <w:szCs w:val="32"/>
          <w14:ligatures w14:val="none"/>
        </w:rPr>
        <w:t>和</w:t>
      </w:r>
      <w:r w:rsidR="00313823" w:rsidRPr="00313823">
        <w:rPr>
          <w:rFonts w:ascii="標楷體" w:eastAsia="標楷體" w:hAnsi="標楷體" w:cs="Times New Roman" w:hint="eastAsia"/>
          <w:sz w:val="32"/>
          <w:szCs w:val="32"/>
          <w14:ligatures w14:val="none"/>
        </w:rPr>
        <w:t>基本自由</w:t>
      </w:r>
      <w:r w:rsidR="006160CA">
        <w:rPr>
          <w:rFonts w:ascii="標楷體" w:eastAsia="標楷體" w:hAnsi="標楷體" w:cs="Times New Roman" w:hint="eastAsia"/>
          <w:sz w:val="32"/>
          <w:szCs w:val="32"/>
          <w14:ligatures w14:val="none"/>
        </w:rPr>
        <w:t>，</w:t>
      </w:r>
      <w:r w:rsidR="00313823" w:rsidRPr="00313823">
        <w:rPr>
          <w:rFonts w:ascii="標楷體" w:eastAsia="標楷體" w:hAnsi="標楷體" w:cs="Times New Roman" w:hint="eastAsia"/>
          <w:sz w:val="32"/>
          <w:szCs w:val="32"/>
          <w14:ligatures w14:val="none"/>
        </w:rPr>
        <w:t>及</w:t>
      </w:r>
      <w:r w:rsidR="00CB1229" w:rsidRPr="00CB1229">
        <w:rPr>
          <w:rFonts w:ascii="標楷體" w:eastAsia="標楷體" w:hAnsi="標楷體" w:cs="Times New Roman"/>
          <w:sz w:val="32"/>
          <w:szCs w:val="32"/>
          <w14:ligatures w14:val="none"/>
        </w:rPr>
        <w:t>第15條</w:t>
      </w:r>
      <w:r w:rsidR="00111C08">
        <w:rPr>
          <w:rFonts w:ascii="標楷體" w:eastAsia="標楷體" w:hAnsi="標楷體" w:cs="Times New Roman" w:hint="eastAsia"/>
          <w:sz w:val="32"/>
          <w:szCs w:val="32"/>
          <w14:ligatures w14:val="none"/>
        </w:rPr>
        <w:t>規定</w:t>
      </w:r>
      <w:r w:rsidR="00CB1229" w:rsidRPr="00CB1229">
        <w:rPr>
          <w:rFonts w:ascii="標楷體" w:eastAsia="標楷體" w:hAnsi="標楷體" w:cs="Times New Roman"/>
          <w:sz w:val="32"/>
          <w:szCs w:val="32"/>
          <w14:ligatures w14:val="none"/>
        </w:rPr>
        <w:t>在法律面前男女平等的地位，而第16條則進一步規範</w:t>
      </w:r>
      <w:r w:rsidR="00477187" w:rsidRPr="00152069">
        <w:rPr>
          <w:rFonts w:ascii="標楷體" w:eastAsia="標楷體" w:hAnsi="標楷體" w:cs="標楷體"/>
          <w:kern w:val="3"/>
          <w:sz w:val="32"/>
          <w:szCs w:val="32"/>
        </w:rPr>
        <w:t>家庭關係及個人法定地位的不歧視法定標準</w:t>
      </w:r>
      <w:r w:rsidR="00317088">
        <w:rPr>
          <w:rFonts w:ascii="標楷體" w:eastAsia="標楷體" w:hAnsi="標楷體" w:cs="Times New Roman" w:hint="eastAsia"/>
          <w:sz w:val="32"/>
          <w:szCs w:val="32"/>
          <w14:ligatures w14:val="none"/>
        </w:rPr>
        <w:t>，</w:t>
      </w:r>
      <w:r w:rsidRPr="006C121E">
        <w:rPr>
          <w:rFonts w:ascii="標楷體" w:eastAsia="標楷體" w:hAnsi="標楷體" w:cs="Times New Roman"/>
          <w:sz w:val="32"/>
          <w:szCs w:val="32"/>
          <w14:ligatures w14:val="none"/>
        </w:rPr>
        <w:t>不僅保障婦女與男性在法律上的平等，更</w:t>
      </w:r>
      <w:r w:rsidR="00111C08">
        <w:rPr>
          <w:rFonts w:ascii="標楷體" w:eastAsia="標楷體" w:hAnsi="標楷體" w:cs="Times New Roman" w:hint="eastAsia"/>
          <w:sz w:val="32"/>
          <w:szCs w:val="32"/>
          <w14:ligatures w14:val="none"/>
        </w:rPr>
        <w:t>強調</w:t>
      </w:r>
      <w:r w:rsidRPr="006C121E">
        <w:rPr>
          <w:rFonts w:ascii="標楷體" w:eastAsia="標楷體" w:hAnsi="標楷體" w:cs="Times New Roman"/>
          <w:sz w:val="32"/>
          <w:szCs w:val="32"/>
          <w14:ligatures w14:val="none"/>
        </w:rPr>
        <w:t>不得因性別、性傾向、性別特質或性別認同而產生歧視。尤其在CEDAW第三次國家報告的結論性意見</w:t>
      </w:r>
      <w:r w:rsidR="00717816">
        <w:rPr>
          <w:rFonts w:ascii="標楷體" w:eastAsia="標楷體" w:hAnsi="標楷體" w:cs="Times New Roman" w:hint="eastAsia"/>
          <w:sz w:val="32"/>
          <w:szCs w:val="32"/>
          <w14:ligatures w14:val="none"/>
        </w:rPr>
        <w:t>第19點</w:t>
      </w:r>
      <w:r w:rsidRPr="006C121E">
        <w:rPr>
          <w:rFonts w:ascii="標楷體" w:eastAsia="標楷體" w:hAnsi="標楷體" w:cs="Times New Roman"/>
          <w:sz w:val="32"/>
          <w:szCs w:val="32"/>
          <w14:ligatures w14:val="none"/>
        </w:rPr>
        <w:t>，進一步指出應推動從業人員的系統性與強制性能力建構，並以交叉歧視分析為方法，識別法規在實務上之適用狀況。</w:t>
      </w:r>
      <w:r w:rsidR="00466F2E" w:rsidRPr="00152069">
        <w:rPr>
          <w:rFonts w:ascii="標楷體" w:eastAsia="標楷體" w:hAnsi="標楷體" w:cs="標楷體"/>
          <w:kern w:val="3"/>
          <w:sz w:val="32"/>
          <w:szCs w:val="32"/>
        </w:rPr>
        <w:t>其中</w:t>
      </w:r>
      <w:r w:rsidR="00466F2E" w:rsidRPr="00152069">
        <w:rPr>
          <w:rFonts w:ascii="標楷體" w:eastAsia="標楷體" w:hAnsi="標楷體" w:cs="標楷體" w:hint="eastAsia"/>
          <w:kern w:val="3"/>
          <w:sz w:val="32"/>
          <w:szCs w:val="32"/>
        </w:rPr>
        <w:t>討論</w:t>
      </w:r>
      <w:r w:rsidR="00466F2E" w:rsidRPr="00152069">
        <w:rPr>
          <w:rFonts w:ascii="標楷體" w:eastAsia="標楷體" w:hAnsi="標楷體" w:cs="標楷體"/>
          <w:kern w:val="3"/>
          <w:sz w:val="32"/>
          <w:szCs w:val="32"/>
        </w:rPr>
        <w:t>「</w:t>
      </w:r>
      <w:r w:rsidR="00466F2E" w:rsidRPr="00152069">
        <w:rPr>
          <w:rFonts w:ascii="標楷體" w:eastAsia="標楷體" w:hAnsi="標楷體" w:cs="標楷體" w:hint="eastAsia"/>
          <w:sz w:val="32"/>
          <w:szCs w:val="32"/>
        </w:rPr>
        <w:t>校園性別暴力案件</w:t>
      </w:r>
      <w:r w:rsidR="00466F2E" w:rsidRPr="00152069">
        <w:rPr>
          <w:rFonts w:ascii="標楷體" w:eastAsia="標楷體" w:hAnsi="標楷體" w:cs="標楷體"/>
          <w:kern w:val="3"/>
          <w:sz w:val="32"/>
          <w:szCs w:val="32"/>
        </w:rPr>
        <w:t>」呼應CEDAW第19號一般性建議消除基於性別的暴力形式</w:t>
      </w:r>
      <w:r w:rsidR="00AF2D96">
        <w:rPr>
          <w:rFonts w:ascii="標楷體" w:eastAsia="標楷體" w:hAnsi="標楷體" w:cs="標楷體" w:hint="eastAsia"/>
          <w:kern w:val="3"/>
          <w:sz w:val="32"/>
          <w:szCs w:val="32"/>
        </w:rPr>
        <w:t>。</w:t>
      </w:r>
      <w:proofErr w:type="gramStart"/>
      <w:r w:rsidR="001B06C3">
        <w:rPr>
          <w:rFonts w:ascii="標楷體" w:eastAsia="標楷體" w:hAnsi="標楷體" w:cs="Times New Roman" w:hint="eastAsia"/>
          <w:sz w:val="32"/>
          <w:szCs w:val="32"/>
          <w14:ligatures w14:val="none"/>
        </w:rPr>
        <w:t>此外</w:t>
      </w:r>
      <w:r w:rsidRPr="006C121E">
        <w:rPr>
          <w:rFonts w:ascii="標楷體" w:eastAsia="標楷體" w:hAnsi="標楷體" w:cs="Times New Roman"/>
          <w:sz w:val="32"/>
          <w:szCs w:val="32"/>
          <w14:ligatures w14:val="none"/>
        </w:rPr>
        <w:t>，</w:t>
      </w:r>
      <w:proofErr w:type="gramEnd"/>
      <w:r w:rsidRPr="006C121E">
        <w:rPr>
          <w:rFonts w:ascii="標楷體" w:eastAsia="標楷體" w:hAnsi="標楷體" w:cs="Times New Roman"/>
          <w:sz w:val="32"/>
          <w:szCs w:val="32"/>
          <w14:ligatures w14:val="none"/>
        </w:rPr>
        <w:t>各地方政府亦逐步在制度上導入性別觀點，如</w:t>
      </w:r>
      <w:r w:rsidR="00FB1735" w:rsidRPr="00152069">
        <w:rPr>
          <w:rFonts w:ascii="標楷體" w:eastAsia="標楷體" w:hAnsi="標楷體" w:cs="標楷體" w:hint="eastAsia"/>
          <w:kern w:val="3"/>
          <w:sz w:val="32"/>
          <w:szCs w:val="32"/>
        </w:rPr>
        <w:t>〈高雄市政府國家賠償事件處理委員會設置要點〉第3點第2項</w:t>
      </w:r>
      <w:r w:rsidRPr="006C121E">
        <w:rPr>
          <w:rFonts w:ascii="標楷體" w:eastAsia="標楷體" w:hAnsi="標楷體" w:cs="Times New Roman"/>
          <w:sz w:val="32"/>
          <w:szCs w:val="32"/>
          <w14:ligatures w14:val="none"/>
        </w:rPr>
        <w:t>規定「任一性別比例不得少於三分之一」，藉由制度設計保障審議過程的性別多元與平</w:t>
      </w:r>
      <w:r w:rsidRPr="006C121E">
        <w:rPr>
          <w:rFonts w:ascii="標楷體" w:eastAsia="標楷體" w:hAnsi="標楷體" w:cs="Times New Roman"/>
          <w:sz w:val="32"/>
          <w:szCs w:val="32"/>
          <w14:ligatures w14:val="none"/>
        </w:rPr>
        <w:lastRenderedPageBreak/>
        <w:t>等性。</w:t>
      </w:r>
      <w:r w:rsidR="00E44783">
        <w:rPr>
          <w:rFonts w:ascii="標楷體" w:eastAsia="標楷體" w:hAnsi="標楷體" w:cs="Times New Roman" w:hint="eastAsia"/>
          <w:sz w:val="32"/>
          <w:szCs w:val="32"/>
          <w14:ligatures w14:val="none"/>
        </w:rPr>
        <w:t>綜上所述</w:t>
      </w:r>
      <w:r w:rsidRPr="006C121E">
        <w:rPr>
          <w:rFonts w:ascii="標楷體" w:eastAsia="標楷體" w:hAnsi="標楷體" w:cs="Times New Roman"/>
          <w:sz w:val="32"/>
          <w:szCs w:val="32"/>
          <w14:ligatures w14:val="none"/>
        </w:rPr>
        <w:t>，本研究希望透過</w:t>
      </w:r>
      <w:r w:rsidR="007B3829">
        <w:rPr>
          <w:rFonts w:ascii="標楷體" w:eastAsia="標楷體" w:hAnsi="標楷體" w:cs="Times New Roman" w:hint="eastAsia"/>
          <w:sz w:val="32"/>
          <w:szCs w:val="32"/>
          <w14:ligatures w14:val="none"/>
        </w:rPr>
        <w:t>彙整</w:t>
      </w:r>
      <w:r w:rsidRPr="006C121E">
        <w:rPr>
          <w:rFonts w:ascii="標楷體" w:eastAsia="標楷體" w:hAnsi="標楷體" w:cs="Times New Roman"/>
          <w:sz w:val="32"/>
          <w:szCs w:val="32"/>
          <w14:ligatures w14:val="none"/>
        </w:rPr>
        <w:t>近年來國家賠償案件中</w:t>
      </w:r>
      <w:r w:rsidR="00FD7F52">
        <w:rPr>
          <w:rFonts w:ascii="標楷體" w:eastAsia="標楷體" w:hAnsi="標楷體" w:cs="Times New Roman" w:hint="eastAsia"/>
          <w:sz w:val="32"/>
          <w:szCs w:val="32"/>
          <w14:ligatures w14:val="none"/>
        </w:rPr>
        <w:t>涉及</w:t>
      </w:r>
      <w:r w:rsidRPr="006C121E">
        <w:rPr>
          <w:rFonts w:ascii="標楷體" w:eastAsia="標楷體" w:hAnsi="標楷體" w:cs="Times New Roman"/>
          <w:sz w:val="32"/>
          <w:szCs w:val="32"/>
          <w14:ligatures w14:val="none"/>
        </w:rPr>
        <w:t>性別暴力之處理程序與審議實務，檢視現行制度是否真正落實性別平等原則，作為制度精進與政策建議之依據。</w:t>
      </w:r>
    </w:p>
    <w:p w14:paraId="5363ED6C" w14:textId="20BC4782" w:rsidR="009C5359" w:rsidRPr="00B418B8" w:rsidRDefault="009C5359" w:rsidP="00521F14">
      <w:pPr>
        <w:spacing w:after="0" w:line="480" w:lineRule="exact"/>
        <w:jc w:val="both"/>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(二)</w:t>
      </w:r>
      <w:r w:rsidRPr="00B418B8">
        <w:rPr>
          <w:rFonts w:ascii="標楷體" w:eastAsia="標楷體" w:hAnsi="標楷體"/>
          <w:sz w:val="32"/>
          <w:szCs w:val="32"/>
        </w:rPr>
        <w:t>分析範圍：</w:t>
      </w:r>
    </w:p>
    <w:p w14:paraId="4059E2F0" w14:textId="6A7F2C5D" w:rsidR="009C5359" w:rsidRDefault="000C10E3" w:rsidP="000C10E3">
      <w:pPr>
        <w:spacing w:after="0" w:line="480" w:lineRule="exact"/>
        <w:ind w:leftChars="400" w:left="960"/>
        <w:jc w:val="both"/>
        <w:rPr>
          <w:rFonts w:ascii="標楷體" w:eastAsia="標楷體" w:hAnsi="標楷體"/>
          <w:sz w:val="32"/>
          <w:szCs w:val="32"/>
        </w:rPr>
      </w:pPr>
      <w:r>
        <w:rPr>
          <w:rFonts w:ascii="標楷體" w:eastAsia="標楷體" w:hAnsi="標楷體" w:hint="eastAsia"/>
          <w:sz w:val="32"/>
          <w:szCs w:val="32"/>
        </w:rPr>
        <w:t xml:space="preserve">　　</w:t>
      </w:r>
      <w:r w:rsidR="008B6EFC" w:rsidRPr="008B6EFC">
        <w:rPr>
          <w:rFonts w:ascii="標楷體" w:eastAsia="標楷體" w:hAnsi="標楷體"/>
          <w:sz w:val="32"/>
          <w:szCs w:val="32"/>
        </w:rPr>
        <w:t>本研究聚焦於高雄市政府國家賠償事件處理委員會於109年至113年間所審議之性騷擾、性侵害、</w:t>
      </w:r>
      <w:proofErr w:type="gramStart"/>
      <w:r w:rsidR="008B6EFC" w:rsidRPr="008B6EFC">
        <w:rPr>
          <w:rFonts w:ascii="標楷體" w:eastAsia="標楷體" w:hAnsi="標楷體"/>
          <w:sz w:val="32"/>
          <w:szCs w:val="32"/>
        </w:rPr>
        <w:t>性霸凌</w:t>
      </w:r>
      <w:proofErr w:type="gramEnd"/>
      <w:r w:rsidR="008B6EFC" w:rsidRPr="008B6EFC">
        <w:rPr>
          <w:rFonts w:ascii="標楷體" w:eastAsia="標楷體" w:hAnsi="標楷體"/>
          <w:sz w:val="32"/>
          <w:szCs w:val="32"/>
        </w:rPr>
        <w:t>等</w:t>
      </w:r>
      <w:r w:rsidR="00B267D7">
        <w:rPr>
          <w:rFonts w:ascii="標楷體" w:eastAsia="標楷體" w:hAnsi="標楷體" w:hint="eastAsia"/>
          <w:sz w:val="32"/>
          <w:szCs w:val="32"/>
        </w:rPr>
        <w:t>與</w:t>
      </w:r>
      <w:r w:rsidR="008B6EFC" w:rsidRPr="008B6EFC">
        <w:rPr>
          <w:rFonts w:ascii="標楷體" w:eastAsia="標楷體" w:hAnsi="標楷體"/>
          <w:sz w:val="32"/>
          <w:szCs w:val="32"/>
        </w:rPr>
        <w:t>性別暴力</w:t>
      </w:r>
      <w:r w:rsidR="00B267D7">
        <w:rPr>
          <w:rFonts w:ascii="標楷體" w:eastAsia="標楷體" w:hAnsi="標楷體" w:hint="eastAsia"/>
          <w:sz w:val="32"/>
          <w:szCs w:val="32"/>
        </w:rPr>
        <w:t>相關</w:t>
      </w:r>
      <w:r w:rsidR="008B6EFC" w:rsidRPr="008B6EFC">
        <w:rPr>
          <w:rFonts w:ascii="標楷體" w:eastAsia="標楷體" w:hAnsi="標楷體"/>
          <w:sz w:val="32"/>
          <w:szCs w:val="32"/>
        </w:rPr>
        <w:t>之案件，針對其申請、審議、處理及結果等程序進行檢視與分析。研究重點在</w:t>
      </w:r>
      <w:r w:rsidR="001F3EFD">
        <w:rPr>
          <w:rFonts w:ascii="標楷體" w:eastAsia="標楷體" w:hAnsi="標楷體" w:hint="eastAsia"/>
          <w:sz w:val="32"/>
          <w:szCs w:val="32"/>
        </w:rPr>
        <w:t>於</w:t>
      </w:r>
      <w:r w:rsidR="008B6EFC" w:rsidRPr="008B6EFC">
        <w:rPr>
          <w:rFonts w:ascii="標楷體" w:eastAsia="標楷體" w:hAnsi="標楷體"/>
          <w:sz w:val="32"/>
          <w:szCs w:val="32"/>
        </w:rPr>
        <w:t>這些國賠案件中，是否考量或忽略了不同性別、性傾向、性別特質與性別認同者的實際需求，並進一步探討制度運作是否存在性別偏見、既定印象或比例失衡等問題。</w:t>
      </w:r>
      <w:r w:rsidR="008B6EFC" w:rsidRPr="00642675">
        <w:rPr>
          <w:rFonts w:ascii="標楷體" w:eastAsia="標楷體" w:hAnsi="標楷體"/>
          <w:sz w:val="32"/>
          <w:szCs w:val="32"/>
        </w:rPr>
        <w:t>研究亦將參照CEDAW公約及其結論性意見中對於性別平等實踐的要求，特別是在法規適用、被害人保障、及從業人員專業訓練等方面，作為分析指標。</w:t>
      </w:r>
      <w:proofErr w:type="gramStart"/>
      <w:r w:rsidR="008B6EFC" w:rsidRPr="008B6EFC">
        <w:rPr>
          <w:rFonts w:ascii="標楷體" w:eastAsia="標楷體" w:hAnsi="標楷體"/>
          <w:sz w:val="32"/>
          <w:szCs w:val="32"/>
        </w:rPr>
        <w:t>此外，</w:t>
      </w:r>
      <w:proofErr w:type="gramEnd"/>
      <w:r w:rsidR="008B6EFC" w:rsidRPr="008B6EFC">
        <w:rPr>
          <w:rFonts w:ascii="標楷體" w:eastAsia="標楷體" w:hAnsi="標楷體"/>
          <w:sz w:val="32"/>
          <w:szCs w:val="32"/>
        </w:rPr>
        <w:t>研究範圍亦將涵蓋現行制度中對多元性別的識別欄位設置與資訊留存機制之完備程度</w:t>
      </w:r>
      <w:r w:rsidR="00AF1858">
        <w:rPr>
          <w:rFonts w:ascii="標楷體" w:eastAsia="標楷體" w:hAnsi="標楷體" w:hint="eastAsia"/>
          <w:sz w:val="32"/>
          <w:szCs w:val="32"/>
        </w:rPr>
        <w:t>，</w:t>
      </w:r>
      <w:r w:rsidR="008B6EFC" w:rsidRPr="008B6EFC">
        <w:rPr>
          <w:rFonts w:ascii="標楷體" w:eastAsia="標楷體" w:hAnsi="標楷體"/>
          <w:sz w:val="32"/>
          <w:szCs w:val="32"/>
        </w:rPr>
        <w:t>透過具體案例與制度分析的結合，本研究將全面探討性別觀點在國家賠償制度中的實踐現況與落差，提供客觀、系統性之觀察結果與改進建議。</w:t>
      </w:r>
    </w:p>
    <w:p w14:paraId="1478C96C" w14:textId="4D0E3673" w:rsidR="00CE64C8" w:rsidRPr="00B418B8" w:rsidRDefault="00CE64C8" w:rsidP="00CE64C8">
      <w:pPr>
        <w:spacing w:after="0" w:line="480" w:lineRule="exact"/>
        <w:jc w:val="both"/>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w:t>
      </w:r>
      <w:r>
        <w:rPr>
          <w:rFonts w:ascii="標楷體" w:eastAsia="標楷體" w:hAnsi="標楷體" w:hint="eastAsia"/>
          <w:sz w:val="32"/>
          <w:szCs w:val="32"/>
        </w:rPr>
        <w:t>三</w:t>
      </w:r>
      <w:r w:rsidRPr="00B418B8">
        <w:rPr>
          <w:rFonts w:ascii="標楷體" w:eastAsia="標楷體" w:hAnsi="標楷體" w:hint="eastAsia"/>
          <w:sz w:val="32"/>
          <w:szCs w:val="32"/>
        </w:rPr>
        <w:t>)</w:t>
      </w:r>
      <w:r>
        <w:rPr>
          <w:rFonts w:ascii="標楷體" w:eastAsia="標楷體" w:hAnsi="標楷體" w:hint="eastAsia"/>
          <w:sz w:val="32"/>
          <w:szCs w:val="32"/>
        </w:rPr>
        <w:t>研究目的</w:t>
      </w:r>
      <w:r w:rsidRPr="00B418B8">
        <w:rPr>
          <w:rFonts w:ascii="標楷體" w:eastAsia="標楷體" w:hAnsi="標楷體"/>
          <w:sz w:val="32"/>
          <w:szCs w:val="32"/>
        </w:rPr>
        <w:t>：</w:t>
      </w:r>
    </w:p>
    <w:p w14:paraId="21A9E4EB" w14:textId="098E1129" w:rsidR="00CE64C8" w:rsidRPr="005C0DFD" w:rsidRDefault="005C0DFD" w:rsidP="005C0DFD">
      <w:pPr>
        <w:spacing w:after="0" w:line="480" w:lineRule="exact"/>
        <w:ind w:leftChars="400" w:left="960"/>
        <w:jc w:val="both"/>
        <w:rPr>
          <w:rFonts w:ascii="標楷體" w:eastAsia="標楷體" w:hAnsi="標楷體"/>
          <w:sz w:val="32"/>
          <w:szCs w:val="32"/>
        </w:rPr>
      </w:pPr>
      <w:r>
        <w:rPr>
          <w:rFonts w:ascii="標楷體" w:eastAsia="標楷體" w:hAnsi="標楷體" w:hint="eastAsia"/>
          <w:sz w:val="32"/>
          <w:szCs w:val="32"/>
        </w:rPr>
        <w:t xml:space="preserve">　　</w:t>
      </w:r>
      <w:r w:rsidRPr="005C0DFD">
        <w:rPr>
          <w:rFonts w:ascii="標楷體" w:eastAsia="標楷體" w:hAnsi="標楷體"/>
          <w:sz w:val="32"/>
          <w:szCs w:val="32"/>
        </w:rPr>
        <w:t>本研究旨在回應我國性別平等政策與CEDAW公約所揭示之國際人權標準，檢視並強化國家賠償制度在處理性別暴力案件中的性別意識與制度回應能力。具體而言，</w:t>
      </w:r>
      <w:r w:rsidR="00714AF1" w:rsidRPr="00714AF1">
        <w:rPr>
          <w:rFonts w:ascii="標楷體" w:eastAsia="標楷體" w:hAnsi="標楷體"/>
          <w:sz w:val="32"/>
          <w:szCs w:val="32"/>
        </w:rPr>
        <w:t>本研究</w:t>
      </w:r>
      <w:r w:rsidR="00DD1DAE">
        <w:rPr>
          <w:rFonts w:ascii="標楷體" w:eastAsia="標楷體" w:hAnsi="標楷體" w:hint="eastAsia"/>
          <w:sz w:val="32"/>
          <w:szCs w:val="32"/>
        </w:rPr>
        <w:t>設定</w:t>
      </w:r>
      <w:r w:rsidR="00714AF1" w:rsidRPr="00714AF1">
        <w:rPr>
          <w:rFonts w:ascii="標楷體" w:eastAsia="標楷體" w:hAnsi="標楷體"/>
          <w:sz w:val="32"/>
          <w:szCs w:val="32"/>
        </w:rPr>
        <w:t>三項主要</w:t>
      </w:r>
      <w:r w:rsidR="00831A5E">
        <w:rPr>
          <w:rFonts w:ascii="標楷體" w:eastAsia="標楷體" w:hAnsi="標楷體" w:hint="eastAsia"/>
          <w:sz w:val="32"/>
          <w:szCs w:val="32"/>
        </w:rPr>
        <w:t>目的</w:t>
      </w:r>
      <w:r w:rsidRPr="005C0DFD">
        <w:rPr>
          <w:rFonts w:ascii="標楷體" w:eastAsia="標楷體" w:hAnsi="標楷體"/>
          <w:sz w:val="32"/>
          <w:szCs w:val="32"/>
        </w:rPr>
        <w:t>：首先，分析高雄市政府國家賠償事件處理委員會近五年內審議之性別暴力案件，</w:t>
      </w:r>
      <w:proofErr w:type="gramStart"/>
      <w:r w:rsidRPr="005C0DFD">
        <w:rPr>
          <w:rFonts w:ascii="標楷體" w:eastAsia="標楷體" w:hAnsi="標楷體"/>
          <w:sz w:val="32"/>
          <w:szCs w:val="32"/>
        </w:rPr>
        <w:t>釐</w:t>
      </w:r>
      <w:proofErr w:type="gramEnd"/>
      <w:r w:rsidRPr="005C0DFD">
        <w:rPr>
          <w:rFonts w:ascii="標楷體" w:eastAsia="標楷體" w:hAnsi="標楷體"/>
          <w:sz w:val="32"/>
          <w:szCs w:val="32"/>
        </w:rPr>
        <w:t>清案件在受理、審議及判斷過程中是否充分兼顧性別多元與被害人保障，避免制度性忽視</w:t>
      </w:r>
      <w:r w:rsidRPr="005C0DFD">
        <w:rPr>
          <w:rFonts w:ascii="標楷體" w:eastAsia="標楷體" w:hAnsi="標楷體"/>
          <w:sz w:val="32"/>
          <w:szCs w:val="32"/>
        </w:rPr>
        <w:lastRenderedPageBreak/>
        <w:t>或歧視；第二，評估現行制度中是否存在從業人員缺乏性別敏感度問題，並參酌CEDAW建議強化專業能力建構之作法，提出實務改善</w:t>
      </w:r>
      <w:r w:rsidR="009949B9">
        <w:rPr>
          <w:rFonts w:ascii="標楷體" w:eastAsia="標楷體" w:hAnsi="標楷體" w:hint="eastAsia"/>
          <w:sz w:val="32"/>
          <w:szCs w:val="32"/>
        </w:rPr>
        <w:t>方案</w:t>
      </w:r>
      <w:r w:rsidRPr="005C0DFD">
        <w:rPr>
          <w:rFonts w:ascii="標楷體" w:eastAsia="標楷體" w:hAnsi="標楷體"/>
          <w:sz w:val="32"/>
          <w:szCs w:val="32"/>
        </w:rPr>
        <w:t>；第三，透過制度與案例交互分析，提出具體政策建議，如表單設計納入多元性別欄位、校園通報機制優化，以提升整體</w:t>
      </w:r>
      <w:r w:rsidR="00461BBF">
        <w:rPr>
          <w:rFonts w:ascii="標楷體" w:eastAsia="標楷體" w:hAnsi="標楷體" w:hint="eastAsia"/>
          <w:sz w:val="32"/>
          <w:szCs w:val="32"/>
        </w:rPr>
        <w:t>國家賠償</w:t>
      </w:r>
      <w:r w:rsidRPr="005C0DFD">
        <w:rPr>
          <w:rFonts w:ascii="標楷體" w:eastAsia="標楷體" w:hAnsi="標楷體"/>
          <w:sz w:val="32"/>
          <w:szCs w:val="32"/>
        </w:rPr>
        <w:t>系統對性別暴力被害人之支持與救濟效能。最終目標為建立兼容性別正義與程序正義的審議機制，確保每一位申請人，無論性別、性傾向或認同，皆能在公平與尊重中獲得應有的法律保護與救濟途徑，進而實踐性別友善、公義包容的社會願景。</w:t>
      </w:r>
    </w:p>
    <w:p w14:paraId="77C5E044" w14:textId="011DF5C6" w:rsidR="00FE0CDD" w:rsidRDefault="00FE0CDD" w:rsidP="00521F14">
      <w:pPr>
        <w:spacing w:after="0" w:line="480" w:lineRule="exact"/>
        <w:jc w:val="both"/>
        <w:rPr>
          <w:rFonts w:ascii="標楷體" w:eastAsia="標楷體" w:hAnsi="標楷體"/>
          <w:b/>
          <w:sz w:val="32"/>
          <w:szCs w:val="32"/>
        </w:rPr>
      </w:pPr>
      <w:r w:rsidRPr="00B418B8">
        <w:rPr>
          <w:rFonts w:ascii="標楷體" w:eastAsia="標楷體" w:hAnsi="標楷體"/>
          <w:b/>
          <w:sz w:val="32"/>
          <w:szCs w:val="32"/>
        </w:rPr>
        <w:t>二、</w:t>
      </w:r>
      <w:r w:rsidR="000F4AFD" w:rsidRPr="000F4AFD">
        <w:rPr>
          <w:rFonts w:ascii="標楷體" w:eastAsia="標楷體" w:hAnsi="標楷體"/>
          <w:b/>
          <w:sz w:val="32"/>
          <w:szCs w:val="32"/>
        </w:rPr>
        <w:t>性別平等與法制制度基礎分析</w:t>
      </w:r>
    </w:p>
    <w:p w14:paraId="7D93C49A" w14:textId="3DD7D346" w:rsidR="00F7365B" w:rsidRPr="00B418B8" w:rsidRDefault="00F7365B" w:rsidP="00521F14">
      <w:pPr>
        <w:spacing w:after="0" w:line="480" w:lineRule="exact"/>
        <w:jc w:val="both"/>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sidRPr="00B418B8">
        <w:rPr>
          <w:rFonts w:ascii="標楷體" w:eastAsia="標楷體" w:hAnsi="標楷體" w:hint="eastAsia"/>
          <w:sz w:val="32"/>
          <w:szCs w:val="32"/>
        </w:rPr>
        <w:t>)</w:t>
      </w:r>
      <w:r w:rsidRPr="00F7365B">
        <w:rPr>
          <w:rFonts w:hint="eastAsia"/>
        </w:rPr>
        <w:t xml:space="preserve"> </w:t>
      </w:r>
      <w:r w:rsidR="000F4AFD" w:rsidRPr="000F4AFD">
        <w:rPr>
          <w:rFonts w:ascii="標楷體" w:eastAsia="標楷體" w:hAnsi="標楷體"/>
          <w:sz w:val="32"/>
          <w:szCs w:val="32"/>
        </w:rPr>
        <w:t>性別平等政策綱領及CEDAW實施架構</w:t>
      </w:r>
    </w:p>
    <w:p w14:paraId="47DF92BB" w14:textId="3D6733C3" w:rsidR="00235D75" w:rsidRDefault="00F21705" w:rsidP="00D576EC">
      <w:pPr>
        <w:spacing w:after="0" w:line="480" w:lineRule="exact"/>
        <w:ind w:leftChars="400" w:left="960"/>
        <w:jc w:val="both"/>
        <w:rPr>
          <w:rFonts w:ascii="標楷體" w:eastAsia="標楷體" w:hAnsi="標楷體"/>
          <w:sz w:val="32"/>
          <w:szCs w:val="32"/>
        </w:rPr>
      </w:pPr>
      <w:r>
        <w:rPr>
          <w:rFonts w:ascii="標楷體" w:eastAsia="標楷體" w:hAnsi="標楷體" w:hint="eastAsia"/>
          <w:sz w:val="32"/>
          <w:szCs w:val="32"/>
        </w:rPr>
        <w:t xml:space="preserve">　　</w:t>
      </w:r>
      <w:r w:rsidR="000F4AFD" w:rsidRPr="000F4AFD">
        <w:rPr>
          <w:rFonts w:ascii="標楷體" w:eastAsia="標楷體" w:hAnsi="標楷體"/>
          <w:sz w:val="32"/>
          <w:szCs w:val="32"/>
        </w:rPr>
        <w:t>我國為強化性別平等發展，行政院於100年制定</w:t>
      </w:r>
      <w:proofErr w:type="gramStart"/>
      <w:r w:rsidR="000F4AFD" w:rsidRPr="000F4AFD">
        <w:rPr>
          <w:rFonts w:ascii="標楷體" w:eastAsia="標楷體" w:hAnsi="標楷體"/>
          <w:sz w:val="32"/>
          <w:szCs w:val="32"/>
        </w:rPr>
        <w:t>並函頒《性別平等政策綱領》</w:t>
      </w:r>
      <w:proofErr w:type="gramEnd"/>
      <w:r w:rsidR="000F4AFD" w:rsidRPr="000F4AFD">
        <w:rPr>
          <w:rFonts w:ascii="標楷體" w:eastAsia="標楷體" w:hAnsi="標楷體"/>
          <w:sz w:val="32"/>
          <w:szCs w:val="32"/>
        </w:rPr>
        <w:t>，作為全國性別平等政策的最高指導原則，並於110年修正公布，其內容涵蓋</w:t>
      </w:r>
      <w:r w:rsidR="003E0A78" w:rsidRPr="003E0A78">
        <w:rPr>
          <w:rFonts w:ascii="標楷體" w:eastAsia="標楷體" w:hAnsi="標楷體"/>
          <w:sz w:val="32"/>
          <w:szCs w:val="32"/>
        </w:rPr>
        <w:t>6面向</w:t>
      </w:r>
      <w:r w:rsidR="003E0A78">
        <w:rPr>
          <w:rFonts w:ascii="標楷體" w:eastAsia="標楷體" w:hAnsi="標楷體" w:hint="eastAsia"/>
          <w:sz w:val="32"/>
          <w:szCs w:val="32"/>
        </w:rPr>
        <w:t>與</w:t>
      </w:r>
      <w:r w:rsidR="003E0A78" w:rsidRPr="003E0A78">
        <w:rPr>
          <w:rFonts w:ascii="標楷體" w:eastAsia="標楷體" w:hAnsi="標楷體"/>
          <w:sz w:val="32"/>
          <w:szCs w:val="32"/>
        </w:rPr>
        <w:t>33項推動策略</w:t>
      </w:r>
      <w:r w:rsidR="000F4AFD" w:rsidRPr="000F4AFD">
        <w:rPr>
          <w:rFonts w:ascii="標楷體" w:eastAsia="標楷體" w:hAnsi="標楷體"/>
          <w:sz w:val="32"/>
          <w:szCs w:val="32"/>
        </w:rPr>
        <w:t>，</w:t>
      </w:r>
      <w:r w:rsidR="00B619FA" w:rsidRPr="00B619FA">
        <w:rPr>
          <w:rFonts w:ascii="標楷體" w:eastAsia="標楷體" w:hAnsi="標楷體"/>
          <w:sz w:val="32"/>
          <w:szCs w:val="32"/>
        </w:rPr>
        <w:t>參酌納入「消除對婦女一切形式歧視公約」(CEDAW)及其第3次國家報告審查委員會結論性意見與建議、聯合國永續發展目標(SDGs)、身心障礙者權利公約(CRPD)及APEC婦女經濟論壇(WEF)宣言等國際公約、宣言及發展目標之精神，並特別關注不利處境者(如原住民族、新移民、高齡、身心障礙、農村及偏遠地區等女性、女童，以及同性戀、雙性戀、跨性別者與雙性人等)之權益保障，以及強化新興數位/網路性別暴力之重視與防治與性別化創新概念的運用</w:t>
      </w:r>
      <w:r w:rsidR="000F4AFD" w:rsidRPr="000F4AFD">
        <w:rPr>
          <w:rFonts w:ascii="標楷體" w:eastAsia="標楷體" w:hAnsi="標楷體"/>
          <w:sz w:val="32"/>
          <w:szCs w:val="32"/>
        </w:rPr>
        <w:t>。特別在政策目標第四項明確指出：「消除基於性別的暴力</w:t>
      </w:r>
      <w:r w:rsidR="0042312F" w:rsidRPr="000F4AFD">
        <w:rPr>
          <w:rFonts w:ascii="標楷體" w:eastAsia="標楷體" w:hAnsi="標楷體"/>
          <w:sz w:val="32"/>
          <w:szCs w:val="32"/>
        </w:rPr>
        <w:t>」</w:t>
      </w:r>
      <w:r w:rsidR="000F4AFD" w:rsidRPr="000F4AFD">
        <w:rPr>
          <w:rFonts w:ascii="標楷體" w:eastAsia="標楷體" w:hAnsi="標楷體"/>
          <w:sz w:val="32"/>
          <w:szCs w:val="32"/>
        </w:rPr>
        <w:t>，</w:t>
      </w:r>
      <w:r w:rsidR="00D576EC" w:rsidRPr="00D576EC">
        <w:rPr>
          <w:rFonts w:ascii="標楷體" w:eastAsia="標楷體" w:hAnsi="標楷體" w:hint="eastAsia"/>
          <w:sz w:val="32"/>
          <w:szCs w:val="32"/>
        </w:rPr>
        <w:t>建構有效的性別暴力防治網絡，加強性別暴力防治觀念宣導，消除對被害人歧視，落實被害人權益保障，積極營造性別友善社會與司法環境，</w:t>
      </w:r>
      <w:proofErr w:type="gramStart"/>
      <w:r w:rsidR="00D576EC" w:rsidRPr="00D576EC">
        <w:rPr>
          <w:rFonts w:ascii="標楷體" w:eastAsia="標楷體" w:hAnsi="標楷體" w:hint="eastAsia"/>
          <w:sz w:val="32"/>
          <w:szCs w:val="32"/>
        </w:rPr>
        <w:lastRenderedPageBreak/>
        <w:t>研</w:t>
      </w:r>
      <w:proofErr w:type="gramEnd"/>
      <w:r w:rsidR="00D576EC" w:rsidRPr="00D576EC">
        <w:rPr>
          <w:rFonts w:ascii="標楷體" w:eastAsia="標楷體" w:hAnsi="標楷體" w:hint="eastAsia"/>
          <w:sz w:val="32"/>
          <w:szCs w:val="32"/>
        </w:rPr>
        <w:t>修法規及措施防治新興性別暴力，打造安全無虞的生活環境。</w:t>
      </w:r>
      <w:r w:rsidR="000F4AFD" w:rsidRPr="000F4AFD">
        <w:rPr>
          <w:rFonts w:ascii="標楷體" w:eastAsia="標楷體" w:hAnsi="標楷體"/>
          <w:sz w:val="32"/>
          <w:szCs w:val="32"/>
        </w:rPr>
        <w:t>此政策綱領不僅對中央與地方政府之政策形成產生引導功能，更具備推動各部門性別影響評估之基礎依據。另</w:t>
      </w:r>
      <w:r w:rsidR="00735EFD">
        <w:rPr>
          <w:rFonts w:ascii="標楷體" w:eastAsia="標楷體" w:hAnsi="標楷體" w:hint="eastAsia"/>
          <w:sz w:val="32"/>
          <w:szCs w:val="32"/>
        </w:rPr>
        <w:t>外，</w:t>
      </w:r>
      <w:r w:rsidR="000F4AFD" w:rsidRPr="000F4AFD">
        <w:rPr>
          <w:rFonts w:ascii="標楷體" w:eastAsia="標楷體" w:hAnsi="標楷體"/>
          <w:sz w:val="32"/>
          <w:szCs w:val="32"/>
        </w:rPr>
        <w:t>在國際法規層面，</w:t>
      </w:r>
      <w:r w:rsidR="008E4B38" w:rsidRPr="008E4B38">
        <w:rPr>
          <w:rFonts w:ascii="標楷體" w:eastAsia="標楷體" w:hAnsi="標楷體"/>
          <w:sz w:val="32"/>
          <w:szCs w:val="32"/>
        </w:rPr>
        <w:t>為明定CEDAW具國內法效力，行政院於99年5月18日函送「消除對婦女一切形式歧視公約施行法」草案，經立法院100年5月20日三讀通過， 總統6月8日公布，自101年1月1日起施行</w:t>
      </w:r>
      <w:r w:rsidR="00D82E8C">
        <w:rPr>
          <w:rFonts w:ascii="標楷體" w:eastAsia="標楷體" w:hAnsi="標楷體" w:hint="eastAsia"/>
          <w:sz w:val="32"/>
          <w:szCs w:val="32"/>
        </w:rPr>
        <w:t>，</w:t>
      </w:r>
      <w:r w:rsidR="000F4AFD" w:rsidRPr="000F4AFD">
        <w:rPr>
          <w:rFonts w:ascii="標楷體" w:eastAsia="標楷體" w:hAnsi="標楷體"/>
          <w:sz w:val="32"/>
          <w:szCs w:val="32"/>
        </w:rPr>
        <w:t>雖未正式成為聯合國會員國，但仍以</w:t>
      </w:r>
      <w:r w:rsidR="008E4B38">
        <w:rPr>
          <w:rFonts w:ascii="標楷體" w:eastAsia="標楷體" w:hAnsi="標楷體" w:hint="eastAsia"/>
          <w:sz w:val="32"/>
          <w:szCs w:val="32"/>
        </w:rPr>
        <w:t>此</w:t>
      </w:r>
      <w:r w:rsidR="000F4AFD" w:rsidRPr="000F4AFD">
        <w:rPr>
          <w:rFonts w:ascii="標楷體" w:eastAsia="標楷體" w:hAnsi="標楷體"/>
          <w:sz w:val="32"/>
          <w:szCs w:val="32"/>
        </w:rPr>
        <w:t>展現落實國際人權標準的承諾。根據CEDAW第2條，國家應為婦女提供與男性平等的法律保障；第15條則針對個人地位與家庭關係之法律平等提出要求，反映性別平等已從傳統勞動、教育等議題擴展至法律制度與社會結構層面。我國並依CEDAW規定定期提交國家報告，透過國際審查建議與國內多方對話機制，回饋與修正性別政策與制度。綜上，性別平等政策綱領與CEDAW實施架構提供我國在制度、法律與政策面進行性別平等改革的重要依據，亦成為檢視包括國家賠償制度</w:t>
      </w:r>
      <w:r w:rsidR="00EF0F86">
        <w:rPr>
          <w:rFonts w:ascii="標楷體" w:eastAsia="標楷體" w:hAnsi="標楷體" w:hint="eastAsia"/>
          <w:sz w:val="32"/>
          <w:szCs w:val="32"/>
        </w:rPr>
        <w:t>與</w:t>
      </w:r>
      <w:r w:rsidR="000F4AFD" w:rsidRPr="000F4AFD">
        <w:rPr>
          <w:rFonts w:ascii="標楷體" w:eastAsia="標楷體" w:hAnsi="標楷體"/>
          <w:sz w:val="32"/>
          <w:szCs w:val="32"/>
        </w:rPr>
        <w:t>各項政府機制是否落實性別正義的基準。</w:t>
      </w:r>
    </w:p>
    <w:p w14:paraId="6B171A0C" w14:textId="223ED5B0" w:rsidR="00D34BBB" w:rsidRPr="002D76B5" w:rsidRDefault="00235D75" w:rsidP="00235D75">
      <w:pPr>
        <w:spacing w:after="0" w:line="480" w:lineRule="exact"/>
        <w:jc w:val="both"/>
        <w:rPr>
          <w:rFonts w:ascii="標楷體" w:eastAsia="標楷體" w:hAnsi="標楷體"/>
          <w:sz w:val="32"/>
          <w:szCs w:val="32"/>
        </w:rPr>
      </w:pPr>
      <w:r>
        <w:rPr>
          <w:rFonts w:ascii="標楷體" w:eastAsia="標楷體" w:hAnsi="標楷體" w:hint="eastAsia"/>
          <w:sz w:val="32"/>
          <w:szCs w:val="32"/>
        </w:rPr>
        <w:t xml:space="preserve">　</w:t>
      </w:r>
      <w:r w:rsidR="00D34BBB" w:rsidRPr="002D76B5">
        <w:rPr>
          <w:rFonts w:ascii="標楷體" w:eastAsia="標楷體" w:hAnsi="標楷體" w:hint="eastAsia"/>
          <w:sz w:val="32"/>
          <w:szCs w:val="32"/>
        </w:rPr>
        <w:t>(二)</w:t>
      </w:r>
      <w:r w:rsidR="00D34BBB" w:rsidRPr="002D76B5">
        <w:rPr>
          <w:rFonts w:hint="eastAsia"/>
        </w:rPr>
        <w:t xml:space="preserve"> </w:t>
      </w:r>
      <w:r w:rsidR="00F21705" w:rsidRPr="002D76B5">
        <w:rPr>
          <w:rFonts w:ascii="標楷體" w:eastAsia="標楷體" w:hAnsi="標楷體"/>
          <w:sz w:val="32"/>
          <w:szCs w:val="32"/>
        </w:rPr>
        <w:t>性別暴力防治相關法規與行政機制</w:t>
      </w:r>
    </w:p>
    <w:p w14:paraId="22FED36E" w14:textId="46CF7254" w:rsidR="000C10E3" w:rsidRDefault="00F21705" w:rsidP="00235D75">
      <w:pPr>
        <w:spacing w:after="0" w:line="480" w:lineRule="exact"/>
        <w:ind w:leftChars="400" w:left="960"/>
        <w:rPr>
          <w:rFonts w:ascii="標楷體" w:eastAsia="標楷體" w:hAnsi="標楷體"/>
          <w:sz w:val="32"/>
          <w:szCs w:val="32"/>
        </w:rPr>
      </w:pPr>
      <w:r w:rsidRPr="002D76B5">
        <w:rPr>
          <w:rFonts w:ascii="標楷體" w:eastAsia="標楷體" w:hAnsi="標楷體" w:hint="eastAsia"/>
          <w:sz w:val="32"/>
          <w:szCs w:val="32"/>
        </w:rPr>
        <w:t xml:space="preserve">　　</w:t>
      </w:r>
      <w:r w:rsidRPr="002D76B5">
        <w:rPr>
          <w:rFonts w:ascii="標楷體" w:eastAsia="標楷體" w:hAnsi="標楷體"/>
          <w:sz w:val="32"/>
          <w:szCs w:val="32"/>
        </w:rPr>
        <w:t>我國對於性別暴力的防治採取多層次的法規與行政配套，從刑事處罰、行政協助到教育</w:t>
      </w:r>
      <w:proofErr w:type="gramStart"/>
      <w:r w:rsidRPr="002D76B5">
        <w:rPr>
          <w:rFonts w:ascii="標楷體" w:eastAsia="標楷體" w:hAnsi="標楷體"/>
          <w:sz w:val="32"/>
          <w:szCs w:val="32"/>
        </w:rPr>
        <w:t>預防均有明確</w:t>
      </w:r>
      <w:proofErr w:type="gramEnd"/>
      <w:r w:rsidRPr="002D76B5">
        <w:rPr>
          <w:rFonts w:ascii="標楷體" w:eastAsia="標楷體" w:hAnsi="標楷體"/>
          <w:sz w:val="32"/>
          <w:szCs w:val="32"/>
        </w:rPr>
        <w:t>規範。主要法源包括《性別平等教育法》、</w:t>
      </w:r>
      <w:r w:rsidR="00A033BB" w:rsidRPr="002D76B5">
        <w:rPr>
          <w:rFonts w:ascii="標楷體" w:eastAsia="標楷體" w:hAnsi="標楷體"/>
          <w:sz w:val="32"/>
          <w:szCs w:val="32"/>
        </w:rPr>
        <w:t>《</w:t>
      </w:r>
      <w:r w:rsidR="00A033BB" w:rsidRPr="00A033BB">
        <w:rPr>
          <w:rFonts w:ascii="標楷體" w:eastAsia="標楷體" w:hAnsi="標楷體" w:hint="eastAsia"/>
          <w:sz w:val="32"/>
          <w:szCs w:val="32"/>
        </w:rPr>
        <w:t>性別平等工作法</w:t>
      </w:r>
      <w:r w:rsidR="00A033BB" w:rsidRPr="002D76B5">
        <w:rPr>
          <w:rFonts w:ascii="標楷體" w:eastAsia="標楷體" w:hAnsi="標楷體"/>
          <w:sz w:val="32"/>
          <w:szCs w:val="32"/>
        </w:rPr>
        <w:t>》</w:t>
      </w:r>
      <w:r w:rsidR="00A033BB">
        <w:rPr>
          <w:rFonts w:ascii="標楷體" w:eastAsia="標楷體" w:hAnsi="標楷體" w:hint="eastAsia"/>
          <w:sz w:val="32"/>
          <w:szCs w:val="32"/>
        </w:rPr>
        <w:t>、</w:t>
      </w:r>
      <w:r w:rsidRPr="002D76B5">
        <w:rPr>
          <w:rFonts w:ascii="標楷體" w:eastAsia="標楷體" w:hAnsi="標楷體"/>
          <w:sz w:val="32"/>
          <w:szCs w:val="32"/>
        </w:rPr>
        <w:t>《性騷擾防治法》、《家庭暴力防治法》與《刑法》相關條文。其中《性別平等教育法》賦予校園場域中遭遇性別歧視與性別暴力者申訴與調查機制，並明訂學校應主動進行防治教育與制度建構，保障學生與</w:t>
      </w:r>
      <w:r w:rsidRPr="00F21705">
        <w:rPr>
          <w:rFonts w:ascii="標楷體" w:eastAsia="標楷體" w:hAnsi="標楷體"/>
          <w:sz w:val="32"/>
          <w:szCs w:val="32"/>
        </w:rPr>
        <w:t>教職員工的性別安全。《性騷</w:t>
      </w:r>
      <w:r w:rsidRPr="00F21705">
        <w:rPr>
          <w:rFonts w:ascii="標楷體" w:eastAsia="標楷體" w:hAnsi="標楷體"/>
          <w:sz w:val="32"/>
          <w:szCs w:val="32"/>
        </w:rPr>
        <w:lastRenderedPageBreak/>
        <w:t>擾防治法》則針對職場、公共空間與教育場域中可能發生之性騷擾行為，訂定申訴、調查及救濟程序，並賦予主管機關與受理機關調查權責。而《家庭暴力防治法》則處理家內暴力問題，強調加害人處遇與被害人庇護制度的完整性</w:t>
      </w:r>
      <w:r w:rsidR="00EE160D">
        <w:rPr>
          <w:rFonts w:ascii="標楷體" w:eastAsia="標楷體" w:hAnsi="標楷體" w:hint="eastAsia"/>
          <w:sz w:val="32"/>
          <w:szCs w:val="32"/>
        </w:rPr>
        <w:t>，</w:t>
      </w:r>
      <w:r w:rsidR="00EE160D" w:rsidRPr="00F21705">
        <w:rPr>
          <w:rFonts w:ascii="標楷體" w:eastAsia="標楷體" w:hAnsi="標楷體"/>
          <w:sz w:val="32"/>
          <w:szCs w:val="32"/>
        </w:rPr>
        <w:t>各地方政府則依據</w:t>
      </w:r>
      <w:r w:rsidR="00EE160D">
        <w:rPr>
          <w:rFonts w:ascii="標楷體" w:eastAsia="標楷體" w:hAnsi="標楷體" w:hint="eastAsia"/>
          <w:sz w:val="32"/>
          <w:szCs w:val="32"/>
        </w:rPr>
        <w:t>相關</w:t>
      </w:r>
      <w:r w:rsidR="00EE160D" w:rsidRPr="00F21705">
        <w:rPr>
          <w:rFonts w:ascii="標楷體" w:eastAsia="標楷體" w:hAnsi="標楷體"/>
          <w:sz w:val="32"/>
          <w:szCs w:val="32"/>
        </w:rPr>
        <w:t>規定，設立性別暴力防治中心或社政單位，以提供被害人法律協助、心理輔導與緊急安置服務</w:t>
      </w:r>
      <w:r w:rsidRPr="00F21705">
        <w:rPr>
          <w:rFonts w:ascii="標楷體" w:eastAsia="標楷體" w:hAnsi="標楷體"/>
          <w:sz w:val="32"/>
          <w:szCs w:val="32"/>
        </w:rPr>
        <w:t>。</w:t>
      </w:r>
      <w:proofErr w:type="gramStart"/>
      <w:r w:rsidRPr="00F21705">
        <w:rPr>
          <w:rFonts w:ascii="標楷體" w:eastAsia="標楷體" w:hAnsi="標楷體"/>
          <w:sz w:val="32"/>
          <w:szCs w:val="32"/>
        </w:rPr>
        <w:t>此外，</w:t>
      </w:r>
      <w:proofErr w:type="gramEnd"/>
      <w:r w:rsidRPr="00177D9A">
        <w:rPr>
          <w:rFonts w:ascii="標楷體" w:eastAsia="標楷體" w:hAnsi="標楷體"/>
          <w:sz w:val="32"/>
          <w:szCs w:val="32"/>
        </w:rPr>
        <w:t>政府亦</w:t>
      </w:r>
      <w:r w:rsidR="004645B2" w:rsidRPr="00177D9A">
        <w:rPr>
          <w:rFonts w:ascii="標楷體" w:eastAsia="標楷體" w:hAnsi="標楷體"/>
          <w:sz w:val="32"/>
          <w:szCs w:val="32"/>
        </w:rPr>
        <w:t>建立跨部會性別暴力防治調查研究中心</w:t>
      </w:r>
      <w:r w:rsidR="003C59B3" w:rsidRPr="00177D9A">
        <w:rPr>
          <w:rFonts w:ascii="標楷體" w:eastAsia="標楷體" w:hAnsi="標楷體" w:hint="eastAsia"/>
          <w:sz w:val="32"/>
          <w:szCs w:val="32"/>
        </w:rPr>
        <w:t>，</w:t>
      </w:r>
      <w:r w:rsidR="004645B2" w:rsidRPr="00177D9A">
        <w:rPr>
          <w:rFonts w:ascii="標楷體" w:eastAsia="標楷體" w:hAnsi="標楷體"/>
          <w:sz w:val="32"/>
          <w:szCs w:val="32"/>
        </w:rPr>
        <w:t>落實橫向整合</w:t>
      </w:r>
      <w:r w:rsidR="004645B2" w:rsidRPr="00177D9A">
        <w:rPr>
          <w:rFonts w:ascii="標楷體" w:eastAsia="標楷體" w:hAnsi="標楷體" w:hint="eastAsia"/>
          <w:sz w:val="32"/>
          <w:szCs w:val="32"/>
        </w:rPr>
        <w:t>，</w:t>
      </w:r>
      <w:r w:rsidR="004645B2" w:rsidRPr="00177D9A">
        <w:rPr>
          <w:rFonts w:ascii="標楷體" w:eastAsia="標楷體" w:hAnsi="標楷體"/>
          <w:sz w:val="32"/>
          <w:szCs w:val="32"/>
        </w:rPr>
        <w:t>發展在地化調查工具與相關評估指標，全面掌握現況並評估政策成效，並深化統計數據與分析資料的應用，以更有效提出應對性別暴力問題的策略和措施</w:t>
      </w:r>
      <w:r w:rsidRPr="00177D9A">
        <w:rPr>
          <w:rFonts w:ascii="標楷體" w:eastAsia="標楷體" w:hAnsi="標楷體"/>
          <w:sz w:val="32"/>
          <w:szCs w:val="32"/>
        </w:rPr>
        <w:t>。儘管已有初步架構，但在實務操作上仍面</w:t>
      </w:r>
      <w:r w:rsidRPr="00F21705">
        <w:rPr>
          <w:rFonts w:ascii="標楷體" w:eastAsia="標楷體" w:hAnsi="標楷體"/>
          <w:sz w:val="32"/>
          <w:szCs w:val="32"/>
        </w:rPr>
        <w:t>臨如通報延遲、證據留存不足、多元性別被邊緣化等問題。尤其面對近年逐漸浮現之新型態性別暴力（如數位性暴力、跨性別者遭遇之歧視暴力），現行法規尚有待與時俱進，制度亦需導入更多性別觀點與交叉歧視分析能力。總體而言，我國已具備性別暴力防治的基本法律與行政機制，但需持續透過法制精進與實務改革，強化對被害人權益的保障與性別正義的實現。</w:t>
      </w:r>
    </w:p>
    <w:p w14:paraId="2A4F16BB" w14:textId="4393331A" w:rsidR="00DD6FEB" w:rsidRPr="00B418B8" w:rsidRDefault="00DD6FEB" w:rsidP="00DD6FEB">
      <w:pPr>
        <w:spacing w:after="0" w:line="480" w:lineRule="exact"/>
        <w:jc w:val="both"/>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w:t>
      </w:r>
      <w:r>
        <w:rPr>
          <w:rFonts w:ascii="標楷體" w:eastAsia="標楷體" w:hAnsi="標楷體" w:hint="eastAsia"/>
          <w:sz w:val="32"/>
          <w:szCs w:val="32"/>
        </w:rPr>
        <w:t>三</w:t>
      </w:r>
      <w:r w:rsidRPr="00B418B8">
        <w:rPr>
          <w:rFonts w:ascii="標楷體" w:eastAsia="標楷體" w:hAnsi="標楷體" w:hint="eastAsia"/>
          <w:sz w:val="32"/>
          <w:szCs w:val="32"/>
        </w:rPr>
        <w:t>)</w:t>
      </w:r>
      <w:r w:rsidRPr="00F7365B">
        <w:rPr>
          <w:rFonts w:hint="eastAsia"/>
        </w:rPr>
        <w:t xml:space="preserve"> </w:t>
      </w:r>
      <w:r w:rsidR="008C7AF3" w:rsidRPr="008C7AF3">
        <w:rPr>
          <w:rFonts w:ascii="標楷體" w:eastAsia="標楷體" w:hAnsi="標楷體"/>
          <w:sz w:val="32"/>
          <w:szCs w:val="32"/>
        </w:rPr>
        <w:t>國家賠償制度簡介與性別意識融入現況</w:t>
      </w:r>
    </w:p>
    <w:p w14:paraId="05874957" w14:textId="496046E7" w:rsidR="00DD6FEB" w:rsidRPr="008C7AF3" w:rsidRDefault="008C7AF3" w:rsidP="008C7AF3">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Pr="008C7AF3">
        <w:rPr>
          <w:rFonts w:ascii="標楷體" w:eastAsia="標楷體" w:hAnsi="標楷體"/>
          <w:sz w:val="32"/>
          <w:szCs w:val="32"/>
        </w:rPr>
        <w:t>國家賠償制度主要依據《國家賠償法》規範，賠償主體為國家與地方自治團體，目的在保障人民因公務員違法或公共設施瑕疵而受損之基本權利。該制度具補償性質，重在修復公權力行使失當對個人造成之損害。實務上，國家賠償事件需由</w:t>
      </w:r>
      <w:r w:rsidR="00AD0D57">
        <w:rPr>
          <w:rFonts w:ascii="標楷體" w:eastAsia="標楷體" w:hAnsi="標楷體"/>
          <w:sz w:val="32"/>
          <w:szCs w:val="32"/>
        </w:rPr>
        <w:t>請求權人</w:t>
      </w:r>
      <w:r w:rsidR="008B5C8D">
        <w:rPr>
          <w:rFonts w:ascii="標楷體" w:eastAsia="標楷體" w:hAnsi="標楷體" w:hint="eastAsia"/>
          <w:sz w:val="32"/>
          <w:szCs w:val="32"/>
        </w:rPr>
        <w:t>以書面</w:t>
      </w:r>
      <w:r w:rsidRPr="008C7AF3">
        <w:rPr>
          <w:rFonts w:ascii="標楷體" w:eastAsia="標楷體" w:hAnsi="標楷體"/>
          <w:sz w:val="32"/>
          <w:szCs w:val="32"/>
        </w:rPr>
        <w:t>提出申請，並由各級機關設立之</w:t>
      </w:r>
      <w:r w:rsidR="003B2904">
        <w:rPr>
          <w:rFonts w:ascii="標楷體" w:eastAsia="標楷體" w:hAnsi="標楷體" w:hint="eastAsia"/>
          <w:sz w:val="32"/>
          <w:szCs w:val="32"/>
        </w:rPr>
        <w:t>國家賠償案件處理機制</w:t>
      </w:r>
      <w:r w:rsidRPr="008C7AF3">
        <w:rPr>
          <w:rFonts w:ascii="標楷體" w:eastAsia="標楷體" w:hAnsi="標楷體"/>
          <w:sz w:val="32"/>
          <w:szCs w:val="32"/>
        </w:rPr>
        <w:t>進行審議。以高雄市政府為例，依據</w:t>
      </w:r>
      <w:r w:rsidRPr="008C7AF3">
        <w:rPr>
          <w:rFonts w:ascii="標楷體" w:eastAsia="標楷體" w:hAnsi="標楷體"/>
          <w:sz w:val="32"/>
          <w:szCs w:val="32"/>
        </w:rPr>
        <w:lastRenderedPageBreak/>
        <w:t>《高雄市政府國家賠償事件處理委員會設置要點》</w:t>
      </w:r>
      <w:r w:rsidR="003B2904">
        <w:rPr>
          <w:rFonts w:ascii="標楷體" w:eastAsia="標楷體" w:hAnsi="標楷體" w:hint="eastAsia"/>
          <w:sz w:val="32"/>
          <w:szCs w:val="32"/>
        </w:rPr>
        <w:t>成立</w:t>
      </w:r>
      <w:r w:rsidR="003B2904" w:rsidRPr="008C7AF3">
        <w:rPr>
          <w:rFonts w:ascii="標楷體" w:eastAsia="標楷體" w:hAnsi="標楷體"/>
          <w:sz w:val="32"/>
          <w:szCs w:val="32"/>
        </w:rPr>
        <w:t>「國家賠償事件處理委員會」</w:t>
      </w:r>
      <w:r w:rsidRPr="008C7AF3">
        <w:rPr>
          <w:rFonts w:ascii="標楷體" w:eastAsia="標楷體" w:hAnsi="標楷體"/>
          <w:sz w:val="32"/>
          <w:szCs w:val="32"/>
        </w:rPr>
        <w:t>，並明定「</w:t>
      </w:r>
      <w:r w:rsidR="0015399C" w:rsidRPr="0015399C">
        <w:rPr>
          <w:rFonts w:ascii="標楷體" w:eastAsia="標楷體" w:hAnsi="標楷體" w:hint="eastAsia"/>
          <w:sz w:val="32"/>
          <w:szCs w:val="32"/>
        </w:rPr>
        <w:t>委員任一性別比例不得少於三分之一</w:t>
      </w:r>
      <w:r w:rsidRPr="008C7AF3">
        <w:rPr>
          <w:rFonts w:ascii="標楷體" w:eastAsia="標楷體" w:hAnsi="標楷體"/>
          <w:sz w:val="32"/>
          <w:szCs w:val="32"/>
        </w:rPr>
        <w:t>」，為制度中導入性別意識的具體作法。然而，制度面仍存在許多未完全性別化的盲點。例如，國賠申請表格</w:t>
      </w:r>
      <w:r w:rsidR="007F063C">
        <w:rPr>
          <w:rFonts w:ascii="標楷體" w:eastAsia="標楷體" w:hAnsi="標楷體" w:hint="eastAsia"/>
          <w:sz w:val="32"/>
          <w:szCs w:val="32"/>
        </w:rPr>
        <w:t>無性別欄位</w:t>
      </w:r>
      <w:r w:rsidRPr="008C7AF3">
        <w:rPr>
          <w:rFonts w:ascii="標楷體" w:eastAsia="標楷體" w:hAnsi="標楷體"/>
          <w:sz w:val="32"/>
          <w:szCs w:val="32"/>
        </w:rPr>
        <w:t>，導致統計資料難以精確呈現各性別族群所遭遇的具體情境。在實務審議過程</w:t>
      </w:r>
      <w:r w:rsidRPr="00F90A7A">
        <w:rPr>
          <w:rFonts w:ascii="標楷體" w:eastAsia="標楷體" w:hAnsi="標楷體"/>
          <w:sz w:val="32"/>
          <w:szCs w:val="32"/>
        </w:rPr>
        <w:t>中，對於性別暴力案件的處理也面臨證據不足</w:t>
      </w:r>
      <w:r w:rsidR="008E6CBC">
        <w:rPr>
          <w:rFonts w:ascii="標楷體" w:eastAsia="標楷體" w:hAnsi="標楷體" w:hint="eastAsia"/>
          <w:sz w:val="32"/>
          <w:szCs w:val="32"/>
        </w:rPr>
        <w:t>或認定程序存有爭議</w:t>
      </w:r>
      <w:r w:rsidRPr="008C7AF3">
        <w:rPr>
          <w:rFonts w:ascii="標楷體" w:eastAsia="標楷體" w:hAnsi="標楷體"/>
          <w:sz w:val="32"/>
          <w:szCs w:val="32"/>
        </w:rPr>
        <w:t>，特別是涉及兒少或校園案件時，舉證困難與程序性瑕疵常成為</w:t>
      </w:r>
      <w:proofErr w:type="gramStart"/>
      <w:r w:rsidRPr="008C7AF3">
        <w:rPr>
          <w:rFonts w:ascii="標楷體" w:eastAsia="標楷體" w:hAnsi="標楷體"/>
          <w:sz w:val="32"/>
          <w:szCs w:val="32"/>
        </w:rPr>
        <w:t>拒賠主因</w:t>
      </w:r>
      <w:proofErr w:type="gramEnd"/>
      <w:r w:rsidRPr="008C7AF3">
        <w:rPr>
          <w:rFonts w:ascii="標楷體" w:eastAsia="標楷體" w:hAnsi="標楷體"/>
          <w:sz w:val="32"/>
          <w:szCs w:val="32"/>
        </w:rPr>
        <w:t>。</w:t>
      </w:r>
      <w:proofErr w:type="gramStart"/>
      <w:r w:rsidRPr="008C7AF3">
        <w:rPr>
          <w:rFonts w:ascii="標楷體" w:eastAsia="標楷體" w:hAnsi="標楷體"/>
          <w:sz w:val="32"/>
          <w:szCs w:val="32"/>
        </w:rPr>
        <w:t>此外，</w:t>
      </w:r>
      <w:proofErr w:type="gramEnd"/>
      <w:r w:rsidR="00AD0D57">
        <w:rPr>
          <w:rFonts w:ascii="標楷體" w:eastAsia="標楷體" w:hAnsi="標楷體"/>
          <w:sz w:val="32"/>
          <w:szCs w:val="32"/>
        </w:rPr>
        <w:t>請求權人</w:t>
      </w:r>
      <w:r w:rsidRPr="008C7AF3">
        <w:rPr>
          <w:rFonts w:ascii="標楷體" w:eastAsia="標楷體" w:hAnsi="標楷體"/>
          <w:sz w:val="32"/>
          <w:szCs w:val="32"/>
        </w:rPr>
        <w:t>多為</w:t>
      </w:r>
      <w:r w:rsidR="009503DC">
        <w:rPr>
          <w:rFonts w:ascii="標楷體" w:eastAsia="標楷體" w:hAnsi="標楷體" w:hint="eastAsia"/>
          <w:sz w:val="32"/>
          <w:szCs w:val="32"/>
        </w:rPr>
        <w:t>女</w:t>
      </w:r>
      <w:r w:rsidRPr="008C7AF3">
        <w:rPr>
          <w:rFonts w:ascii="標楷體" w:eastAsia="標楷體" w:hAnsi="標楷體"/>
          <w:sz w:val="32"/>
          <w:szCs w:val="32"/>
        </w:rPr>
        <w:t>性監護人，亦顯示現行制度可能在性別角色上存在既定印象，忽視</w:t>
      </w:r>
      <w:r w:rsidR="009503DC">
        <w:rPr>
          <w:rFonts w:ascii="標楷體" w:eastAsia="標楷體" w:hAnsi="標楷體" w:hint="eastAsia"/>
          <w:sz w:val="32"/>
          <w:szCs w:val="32"/>
        </w:rPr>
        <w:t>男</w:t>
      </w:r>
      <w:r w:rsidRPr="008C7AF3">
        <w:rPr>
          <w:rFonts w:ascii="標楷體" w:eastAsia="標楷體" w:hAnsi="標楷體"/>
          <w:sz w:val="32"/>
          <w:szCs w:val="32"/>
        </w:rPr>
        <w:t>性或多元性別族群作為申請人、代理人之潛在需求。因此，將性別主流化納入國賠制度設計，除了在委員會組成中實踐性別比例原則外，更</w:t>
      </w:r>
      <w:r w:rsidR="006C7E5F">
        <w:rPr>
          <w:rFonts w:ascii="標楷體" w:eastAsia="標楷體" w:hAnsi="標楷體" w:hint="eastAsia"/>
          <w:sz w:val="32"/>
          <w:szCs w:val="32"/>
        </w:rPr>
        <w:t>得</w:t>
      </w:r>
      <w:r w:rsidRPr="008C7AF3">
        <w:rPr>
          <w:rFonts w:ascii="標楷體" w:eastAsia="標楷體" w:hAnsi="標楷體"/>
          <w:sz w:val="32"/>
          <w:szCs w:val="32"/>
        </w:rPr>
        <w:t>全面檢視制度流程與審議準則，避免隱性歧視或</w:t>
      </w:r>
      <w:proofErr w:type="gramStart"/>
      <w:r w:rsidRPr="008C7AF3">
        <w:rPr>
          <w:rFonts w:ascii="標楷體" w:eastAsia="標楷體" w:hAnsi="標楷體"/>
          <w:sz w:val="32"/>
          <w:szCs w:val="32"/>
        </w:rPr>
        <w:t>性別盲區持續</w:t>
      </w:r>
      <w:proofErr w:type="gramEnd"/>
      <w:r w:rsidRPr="008C7AF3">
        <w:rPr>
          <w:rFonts w:ascii="標楷體" w:eastAsia="標楷體" w:hAnsi="標楷體"/>
          <w:sz w:val="32"/>
          <w:szCs w:val="32"/>
        </w:rPr>
        <w:t>存在。</w:t>
      </w:r>
      <w:r w:rsidR="00A31B38" w:rsidRPr="00A31B38">
        <w:rPr>
          <w:rFonts w:ascii="標楷體" w:eastAsia="標楷體" w:hAnsi="標楷體"/>
          <w:sz w:val="32"/>
          <w:szCs w:val="32"/>
        </w:rPr>
        <w:t>綜上所述</w:t>
      </w:r>
      <w:r w:rsidRPr="008C7AF3">
        <w:rPr>
          <w:rFonts w:ascii="標楷體" w:eastAsia="標楷體" w:hAnsi="標楷體"/>
          <w:sz w:val="32"/>
          <w:szCs w:val="32"/>
        </w:rPr>
        <w:t>，透過性別統計與資料盤點，有助於揭示制度運作中的性別差異，並作為未來制度優化與政策調整的重要依據。</w:t>
      </w:r>
    </w:p>
    <w:p w14:paraId="7787226B" w14:textId="1C8D3E60" w:rsidR="000C10E3" w:rsidRPr="000C10E3" w:rsidRDefault="000C10E3" w:rsidP="00836F78">
      <w:pPr>
        <w:spacing w:after="0" w:line="480" w:lineRule="exact"/>
        <w:ind w:left="567" w:hangingChars="177" w:hanging="567"/>
        <w:rPr>
          <w:rFonts w:ascii="標楷體" w:eastAsia="標楷體" w:hAnsi="標楷體"/>
          <w:b/>
          <w:sz w:val="32"/>
          <w:szCs w:val="32"/>
        </w:rPr>
      </w:pPr>
      <w:r w:rsidRPr="008D2415">
        <w:rPr>
          <w:rFonts w:ascii="標楷體" w:eastAsia="標楷體" w:hAnsi="標楷體" w:hint="eastAsia"/>
          <w:b/>
          <w:sz w:val="32"/>
          <w:szCs w:val="32"/>
        </w:rPr>
        <w:t>三</w:t>
      </w:r>
      <w:r w:rsidR="00460E9B" w:rsidRPr="008D2415">
        <w:rPr>
          <w:rFonts w:ascii="標楷體" w:eastAsia="標楷體" w:hAnsi="標楷體" w:hint="eastAsia"/>
          <w:b/>
          <w:sz w:val="32"/>
          <w:szCs w:val="32"/>
        </w:rPr>
        <w:t>、性別統計與現況分析</w:t>
      </w:r>
      <w:r w:rsidR="00381A9E">
        <w:rPr>
          <w:rFonts w:ascii="標楷體" w:eastAsia="標楷體" w:hAnsi="標楷體" w:hint="eastAsia"/>
          <w:b/>
          <w:sz w:val="32"/>
          <w:szCs w:val="32"/>
        </w:rPr>
        <w:t>(</w:t>
      </w:r>
      <w:proofErr w:type="gramStart"/>
      <w:r w:rsidR="00381A9E">
        <w:rPr>
          <w:rFonts w:ascii="標楷體" w:eastAsia="標楷體" w:hAnsi="標楷體" w:hint="eastAsia"/>
          <w:b/>
          <w:sz w:val="32"/>
          <w:szCs w:val="32"/>
        </w:rPr>
        <w:t>註</w:t>
      </w:r>
      <w:proofErr w:type="gramEnd"/>
      <w:r w:rsidR="00381A9E">
        <w:rPr>
          <w:rFonts w:ascii="標楷體" w:eastAsia="標楷體" w:hAnsi="標楷體" w:hint="eastAsia"/>
          <w:b/>
          <w:sz w:val="32"/>
          <w:szCs w:val="32"/>
        </w:rPr>
        <w:t>：相關說明及統計請參閱附表)</w:t>
      </w:r>
    </w:p>
    <w:p w14:paraId="734144F1" w14:textId="2226C64D" w:rsidR="009A489E" w:rsidRDefault="009A489E" w:rsidP="009A489E">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00D97523" w:rsidRPr="00B418B8">
        <w:rPr>
          <w:rFonts w:ascii="標楷體" w:eastAsia="標楷體" w:hAnsi="標楷體" w:hint="eastAsia"/>
          <w:sz w:val="32"/>
          <w:szCs w:val="32"/>
        </w:rPr>
        <w:t>(</w:t>
      </w:r>
      <w:proofErr w:type="gramStart"/>
      <w:r w:rsidR="00460E9B" w:rsidRPr="00D97523">
        <w:rPr>
          <w:rFonts w:ascii="標楷體" w:eastAsia="標楷體" w:hAnsi="標楷體" w:hint="eastAsia"/>
          <w:sz w:val="32"/>
          <w:szCs w:val="32"/>
        </w:rPr>
        <w:t>一</w:t>
      </w:r>
      <w:proofErr w:type="gramEnd"/>
      <w:r w:rsidR="00D97523" w:rsidRPr="00B418B8">
        <w:rPr>
          <w:rFonts w:ascii="標楷體" w:eastAsia="標楷體" w:hAnsi="標楷體" w:hint="eastAsia"/>
          <w:sz w:val="32"/>
          <w:szCs w:val="32"/>
        </w:rPr>
        <w:t>)</w:t>
      </w:r>
      <w:r w:rsidR="00705DF4" w:rsidRPr="00705DF4">
        <w:t xml:space="preserve"> </w:t>
      </w:r>
      <w:r w:rsidR="00705DF4" w:rsidRPr="00705DF4">
        <w:rPr>
          <w:rFonts w:ascii="標楷體" w:eastAsia="標楷體" w:hAnsi="標楷體"/>
          <w:sz w:val="32"/>
          <w:szCs w:val="32"/>
        </w:rPr>
        <w:t>國賠案件總量（109～113年）</w:t>
      </w:r>
    </w:p>
    <w:p w14:paraId="43B6ACA2" w14:textId="212C1F4B" w:rsidR="00FD43CC" w:rsidRDefault="009E24C6" w:rsidP="009A489E">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Pr="009E24C6">
        <w:rPr>
          <w:rFonts w:ascii="標楷體" w:eastAsia="標楷體" w:hAnsi="標楷體"/>
          <w:sz w:val="32"/>
          <w:szCs w:val="32"/>
        </w:rPr>
        <w:t>109年至113年間，本府共計受理國家賠償案件973件，其中，涉</w:t>
      </w:r>
      <w:r w:rsidR="00BB0586">
        <w:rPr>
          <w:rFonts w:ascii="標楷體" w:eastAsia="標楷體" w:hAnsi="標楷體" w:hint="eastAsia"/>
          <w:sz w:val="32"/>
          <w:szCs w:val="32"/>
        </w:rPr>
        <w:t>及</w:t>
      </w:r>
      <w:r w:rsidRPr="009E24C6">
        <w:rPr>
          <w:rFonts w:ascii="標楷體" w:eastAsia="標楷體" w:hAnsi="標楷體"/>
          <w:sz w:val="32"/>
          <w:szCs w:val="32"/>
        </w:rPr>
        <w:t>性別暴力國賠案件共10件，占全部案件比例約1.0</w:t>
      </w:r>
      <w:r w:rsidR="00BC38C9">
        <w:rPr>
          <w:rFonts w:ascii="標楷體" w:eastAsia="標楷體" w:hAnsi="標楷體" w:hint="eastAsia"/>
          <w:sz w:val="32"/>
          <w:szCs w:val="32"/>
        </w:rPr>
        <w:t>2</w:t>
      </w:r>
      <w:r w:rsidRPr="009E24C6">
        <w:rPr>
          <w:rFonts w:ascii="標楷體" w:eastAsia="標楷體" w:hAnsi="標楷體"/>
          <w:sz w:val="32"/>
          <w:szCs w:val="32"/>
        </w:rPr>
        <w:t>%，顯示性別暴力國賠請求雖屬少數，但在議題敏感性與社會關注度上具高度代表性。</w:t>
      </w:r>
      <w:r w:rsidR="00D22509">
        <w:rPr>
          <w:rFonts w:ascii="標楷體" w:eastAsia="標楷體" w:hAnsi="標楷體" w:hint="eastAsia"/>
          <w:sz w:val="32"/>
          <w:szCs w:val="32"/>
        </w:rPr>
        <w:t>另</w:t>
      </w:r>
      <w:r w:rsidR="001D052D">
        <w:rPr>
          <w:rFonts w:ascii="標楷體" w:eastAsia="標楷體" w:hAnsi="標楷體" w:hint="eastAsia"/>
          <w:sz w:val="32"/>
          <w:szCs w:val="32"/>
        </w:rPr>
        <w:t>查</w:t>
      </w:r>
      <w:r w:rsidR="00D22509">
        <w:rPr>
          <w:rFonts w:ascii="標楷體" w:eastAsia="標楷體" w:hAnsi="標楷體" w:hint="eastAsia"/>
          <w:sz w:val="32"/>
          <w:szCs w:val="32"/>
        </w:rPr>
        <w:t>，</w:t>
      </w:r>
      <w:r w:rsidR="00D22509" w:rsidRPr="00D22509">
        <w:rPr>
          <w:rFonts w:ascii="標楷體" w:eastAsia="標楷體" w:hAnsi="標楷體" w:hint="eastAsia"/>
          <w:sz w:val="32"/>
          <w:szCs w:val="32"/>
        </w:rPr>
        <w:t>109年至113年間，本府接獲通報之校園性別暴力案件總數為9,130件，通報案件</w:t>
      </w:r>
      <w:r w:rsidR="00C5692A">
        <w:rPr>
          <w:rFonts w:ascii="標楷體" w:eastAsia="標楷體" w:hAnsi="標楷體" w:hint="eastAsia"/>
          <w:sz w:val="32"/>
          <w:szCs w:val="32"/>
        </w:rPr>
        <w:t>中</w:t>
      </w:r>
      <w:r w:rsidR="00D22509" w:rsidRPr="00D22509">
        <w:rPr>
          <w:rFonts w:ascii="標楷體" w:eastAsia="標楷體" w:hAnsi="標楷體" w:hint="eastAsia"/>
          <w:sz w:val="32"/>
          <w:szCs w:val="32"/>
        </w:rPr>
        <w:t>提起國賠請求比例為0.077%</w:t>
      </w:r>
      <w:r w:rsidR="00011719">
        <w:rPr>
          <w:rFonts w:ascii="標楷體" w:eastAsia="標楷體" w:hAnsi="標楷體" w:hint="eastAsia"/>
          <w:sz w:val="32"/>
          <w:szCs w:val="32"/>
        </w:rPr>
        <w:t>，</w:t>
      </w:r>
      <w:r w:rsidR="00011719" w:rsidRPr="00011719">
        <w:rPr>
          <w:rFonts w:ascii="標楷體" w:eastAsia="標楷體" w:hAnsi="標楷體" w:hint="eastAsia"/>
          <w:sz w:val="32"/>
          <w:szCs w:val="32"/>
        </w:rPr>
        <w:t>落差極大，顯示</w:t>
      </w:r>
      <w:r w:rsidR="00294D6D">
        <w:rPr>
          <w:rFonts w:ascii="標楷體" w:eastAsia="標楷體" w:hAnsi="標楷體" w:hint="eastAsia"/>
          <w:sz w:val="32"/>
          <w:szCs w:val="32"/>
        </w:rPr>
        <w:t>學校</w:t>
      </w:r>
      <w:r w:rsidR="00011719" w:rsidRPr="00011719">
        <w:rPr>
          <w:rFonts w:ascii="標楷體" w:eastAsia="標楷體" w:hAnsi="標楷體" w:hint="eastAsia"/>
          <w:sz w:val="32"/>
          <w:szCs w:val="32"/>
        </w:rPr>
        <w:t>或家長</w:t>
      </w:r>
      <w:r w:rsidR="00E9473B">
        <w:rPr>
          <w:rFonts w:ascii="標楷體" w:eastAsia="標楷體" w:hAnsi="標楷體" w:hint="eastAsia"/>
          <w:sz w:val="32"/>
          <w:szCs w:val="32"/>
        </w:rPr>
        <w:lastRenderedPageBreak/>
        <w:t>可能</w:t>
      </w:r>
      <w:r w:rsidR="00011719" w:rsidRPr="00011719">
        <w:rPr>
          <w:rFonts w:ascii="標楷體" w:eastAsia="標楷體" w:hAnsi="標楷體" w:hint="eastAsia"/>
          <w:sz w:val="32"/>
          <w:szCs w:val="32"/>
        </w:rPr>
        <w:t>在前端程序</w:t>
      </w:r>
      <w:proofErr w:type="gramStart"/>
      <w:r w:rsidR="00011719" w:rsidRPr="00011719">
        <w:rPr>
          <w:rFonts w:ascii="標楷體" w:eastAsia="標楷體" w:hAnsi="標楷體" w:hint="eastAsia"/>
          <w:sz w:val="32"/>
          <w:szCs w:val="32"/>
        </w:rPr>
        <w:t>即妥處</w:t>
      </w:r>
      <w:proofErr w:type="gramEnd"/>
      <w:r w:rsidR="00011719" w:rsidRPr="00011719">
        <w:rPr>
          <w:rFonts w:ascii="標楷體" w:eastAsia="標楷體" w:hAnsi="標楷體" w:hint="eastAsia"/>
          <w:sz w:val="32"/>
          <w:szCs w:val="32"/>
        </w:rPr>
        <w:t>，或受害者</w:t>
      </w:r>
      <w:proofErr w:type="gramStart"/>
      <w:r w:rsidR="002D0E67">
        <w:rPr>
          <w:rFonts w:ascii="標楷體" w:eastAsia="標楷體" w:hAnsi="標楷體" w:hint="eastAsia"/>
          <w:sz w:val="32"/>
          <w:szCs w:val="32"/>
        </w:rPr>
        <w:t>循</w:t>
      </w:r>
      <w:proofErr w:type="gramEnd"/>
      <w:r w:rsidR="00F9462A">
        <w:rPr>
          <w:rFonts w:ascii="標楷體" w:eastAsia="標楷體" w:hAnsi="標楷體" w:hint="eastAsia"/>
          <w:sz w:val="32"/>
          <w:szCs w:val="32"/>
        </w:rPr>
        <w:t>其他</w:t>
      </w:r>
      <w:r w:rsidR="002D0E67">
        <w:rPr>
          <w:rFonts w:ascii="標楷體" w:eastAsia="標楷體" w:hAnsi="標楷體" w:hint="eastAsia"/>
          <w:sz w:val="32"/>
          <w:szCs w:val="32"/>
        </w:rPr>
        <w:t>管道予以處理，而未進行國賠程序</w:t>
      </w:r>
      <w:r w:rsidR="00011719" w:rsidRPr="00011719">
        <w:rPr>
          <w:rFonts w:ascii="標楷體" w:eastAsia="標楷體" w:hAnsi="標楷體" w:hint="eastAsia"/>
          <w:sz w:val="32"/>
          <w:szCs w:val="32"/>
        </w:rPr>
        <w:t>。</w:t>
      </w:r>
    </w:p>
    <w:p w14:paraId="02F99CCB" w14:textId="693EFDDC" w:rsidR="00FD43CC" w:rsidRDefault="00FD43CC" w:rsidP="00FD43CC">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w:t>
      </w:r>
      <w:r w:rsidRPr="009A489E">
        <w:rPr>
          <w:rFonts w:ascii="標楷體" w:eastAsia="標楷體" w:hAnsi="標楷體" w:hint="eastAsia"/>
          <w:sz w:val="32"/>
          <w:szCs w:val="32"/>
        </w:rPr>
        <w:t>二</w:t>
      </w:r>
      <w:r w:rsidRPr="00B418B8">
        <w:rPr>
          <w:rFonts w:ascii="標楷體" w:eastAsia="標楷體" w:hAnsi="標楷體" w:hint="eastAsia"/>
          <w:sz w:val="32"/>
          <w:szCs w:val="32"/>
        </w:rPr>
        <w:t>)</w:t>
      </w:r>
      <w:r w:rsidRPr="00057F6E">
        <w:t xml:space="preserve"> </w:t>
      </w:r>
      <w:r w:rsidRPr="00FD43CC">
        <w:rPr>
          <w:rFonts w:ascii="標楷體" w:eastAsia="標楷體" w:hAnsi="標楷體" w:hint="eastAsia"/>
          <w:sz w:val="32"/>
          <w:szCs w:val="32"/>
        </w:rPr>
        <w:t>校園與非校園</w:t>
      </w:r>
      <w:r w:rsidRPr="00057F6E">
        <w:rPr>
          <w:rFonts w:ascii="標楷體" w:eastAsia="標楷體" w:hAnsi="標楷體"/>
          <w:sz w:val="32"/>
          <w:szCs w:val="32"/>
        </w:rPr>
        <w:t>案件占比</w:t>
      </w:r>
    </w:p>
    <w:p w14:paraId="6B3F1FDA" w14:textId="5C72D51A" w:rsidR="009E24C6" w:rsidRPr="00A2524C" w:rsidRDefault="00963C82" w:rsidP="009A489E">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00FD43CC" w:rsidRPr="00FD43CC">
        <w:rPr>
          <w:rFonts w:ascii="標楷體" w:eastAsia="標楷體" w:hAnsi="標楷體" w:hint="eastAsia"/>
          <w:sz w:val="32"/>
          <w:szCs w:val="32"/>
        </w:rPr>
        <w:t>10 件性別暴力國賠中，7 件（70％）發生於校園，3 件（30％）發生於其他場域。</w:t>
      </w:r>
      <w:r w:rsidR="009E24C6" w:rsidRPr="009E24C6">
        <w:rPr>
          <w:rFonts w:ascii="標楷體" w:eastAsia="標楷體" w:hAnsi="標楷體"/>
          <w:sz w:val="32"/>
          <w:szCs w:val="32"/>
        </w:rPr>
        <w:t>進一步觀察，該7件發生於校園</w:t>
      </w:r>
      <w:r w:rsidR="008A31C9">
        <w:rPr>
          <w:rFonts w:ascii="標楷體" w:eastAsia="標楷體" w:hAnsi="標楷體" w:hint="eastAsia"/>
          <w:sz w:val="32"/>
          <w:szCs w:val="32"/>
        </w:rPr>
        <w:t>的案件</w:t>
      </w:r>
      <w:r w:rsidR="009E24C6" w:rsidRPr="009E24C6">
        <w:rPr>
          <w:rFonts w:ascii="標楷體" w:eastAsia="標楷體" w:hAnsi="標楷體"/>
          <w:sz w:val="32"/>
          <w:szCs w:val="32"/>
        </w:rPr>
        <w:t>，校園性別暴力案件占全部性別暴力國賠案件的70%，</w:t>
      </w:r>
      <w:r w:rsidR="00A2524C" w:rsidRPr="00A2524C">
        <w:rPr>
          <w:rFonts w:ascii="標楷體" w:eastAsia="標楷體" w:hAnsi="標楷體" w:hint="eastAsia"/>
          <w:sz w:val="32"/>
          <w:szCs w:val="32"/>
        </w:rPr>
        <w:t>突顯學校環境為性別暴力高風險場域</w:t>
      </w:r>
      <w:r w:rsidR="009E24C6" w:rsidRPr="009E24C6">
        <w:rPr>
          <w:rFonts w:ascii="標楷體" w:eastAsia="標楷體" w:hAnsi="標楷體"/>
          <w:sz w:val="32"/>
          <w:szCs w:val="32"/>
        </w:rPr>
        <w:t>，也說明教育</w:t>
      </w:r>
      <w:proofErr w:type="gramStart"/>
      <w:r w:rsidR="009E24C6" w:rsidRPr="009E24C6">
        <w:rPr>
          <w:rFonts w:ascii="標楷體" w:eastAsia="標楷體" w:hAnsi="標楷體"/>
          <w:sz w:val="32"/>
          <w:szCs w:val="32"/>
        </w:rPr>
        <w:t>場域應為公</w:t>
      </w:r>
      <w:proofErr w:type="gramEnd"/>
      <w:r w:rsidR="009E24C6" w:rsidRPr="009E24C6">
        <w:rPr>
          <w:rFonts w:ascii="標楷體" w:eastAsia="標楷體" w:hAnsi="標楷體"/>
          <w:sz w:val="32"/>
          <w:szCs w:val="32"/>
        </w:rPr>
        <w:t>部門性別意識建構與監督機制強化的重點。</w:t>
      </w:r>
    </w:p>
    <w:p w14:paraId="7C53D2BA" w14:textId="2F297C17" w:rsidR="009A489E" w:rsidRDefault="009A489E" w:rsidP="009A489E">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w:t>
      </w:r>
      <w:r w:rsidR="00E4024A">
        <w:rPr>
          <w:rFonts w:ascii="標楷體" w:eastAsia="標楷體" w:hAnsi="標楷體" w:hint="eastAsia"/>
          <w:sz w:val="32"/>
          <w:szCs w:val="32"/>
        </w:rPr>
        <w:t>三</w:t>
      </w:r>
      <w:r w:rsidRPr="00B418B8">
        <w:rPr>
          <w:rFonts w:ascii="標楷體" w:eastAsia="標楷體" w:hAnsi="標楷體" w:hint="eastAsia"/>
          <w:sz w:val="32"/>
          <w:szCs w:val="32"/>
        </w:rPr>
        <w:t>)</w:t>
      </w:r>
      <w:r w:rsidR="00057F6E" w:rsidRPr="00057F6E">
        <w:t xml:space="preserve"> </w:t>
      </w:r>
      <w:r w:rsidR="00057F6E" w:rsidRPr="00057F6E">
        <w:rPr>
          <w:rFonts w:ascii="標楷體" w:eastAsia="標楷體" w:hAnsi="標楷體"/>
          <w:sz w:val="32"/>
          <w:szCs w:val="32"/>
        </w:rPr>
        <w:t>涉性騷擾、性侵害、</w:t>
      </w:r>
      <w:proofErr w:type="gramStart"/>
      <w:r w:rsidR="00057F6E" w:rsidRPr="00057F6E">
        <w:rPr>
          <w:rFonts w:ascii="標楷體" w:eastAsia="標楷體" w:hAnsi="標楷體"/>
          <w:sz w:val="32"/>
          <w:szCs w:val="32"/>
        </w:rPr>
        <w:t>性霸凌</w:t>
      </w:r>
      <w:proofErr w:type="gramEnd"/>
      <w:r w:rsidR="00057F6E" w:rsidRPr="00057F6E">
        <w:rPr>
          <w:rFonts w:ascii="標楷體" w:eastAsia="標楷體" w:hAnsi="標楷體"/>
          <w:sz w:val="32"/>
          <w:szCs w:val="32"/>
        </w:rPr>
        <w:t>案件占比</w:t>
      </w:r>
    </w:p>
    <w:p w14:paraId="504F4272" w14:textId="08CCD67F" w:rsidR="005A589C" w:rsidRDefault="005A589C" w:rsidP="009A489E">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Pr="005A589C">
        <w:rPr>
          <w:rFonts w:ascii="標楷體" w:eastAsia="標楷體" w:hAnsi="標楷體"/>
          <w:sz w:val="32"/>
          <w:szCs w:val="32"/>
        </w:rPr>
        <w:t>10件性別暴力國賠案件涵蓋性騷擾、性侵害及</w:t>
      </w:r>
      <w:proofErr w:type="gramStart"/>
      <w:r w:rsidRPr="005A589C">
        <w:rPr>
          <w:rFonts w:ascii="標楷體" w:eastAsia="標楷體" w:hAnsi="標楷體"/>
          <w:sz w:val="32"/>
          <w:szCs w:val="32"/>
        </w:rPr>
        <w:t>性霸凌</w:t>
      </w:r>
      <w:proofErr w:type="gramEnd"/>
      <w:r w:rsidRPr="005A589C">
        <w:rPr>
          <w:rFonts w:ascii="標楷體" w:eastAsia="標楷體" w:hAnsi="標楷體"/>
          <w:sz w:val="32"/>
          <w:szCs w:val="32"/>
        </w:rPr>
        <w:t>等三類型，未呈現特定類型之集中現象，顯示校園性別暴力問題樣態多元、複雜，須個案評估與綜合治理。案件中亦顯示，權勢關係為導致性別暴力發生的重要因子，以教師對學生的加害行為最為常見，部分案件甚至涉及長期侵害。這反映出當性別暴力與結構性權力不對等結合時，受害者處境將更為脆弱，公部門在調查與處理過程中需更謹慎應對，以避免程序瑕疵或疏失衍生後續國賠爭議。</w:t>
      </w:r>
    </w:p>
    <w:p w14:paraId="5145EE8C" w14:textId="65AED992" w:rsidR="00745A05" w:rsidRPr="00390ED2" w:rsidRDefault="00745A05" w:rsidP="00745A05">
      <w:pPr>
        <w:spacing w:after="0" w:line="480" w:lineRule="exact"/>
        <w:rPr>
          <w:rFonts w:ascii="標楷體" w:eastAsia="標楷體" w:hAnsi="標楷體"/>
          <w:sz w:val="32"/>
          <w:szCs w:val="32"/>
        </w:rPr>
      </w:pPr>
      <w:r w:rsidRPr="00390ED2">
        <w:rPr>
          <w:rFonts w:ascii="標楷體" w:eastAsia="標楷體" w:hAnsi="標楷體" w:hint="eastAsia"/>
          <w:sz w:val="32"/>
          <w:szCs w:val="32"/>
        </w:rPr>
        <w:t xml:space="preserve">　</w:t>
      </w:r>
      <w:r w:rsidR="00491A82" w:rsidRPr="00390ED2">
        <w:rPr>
          <w:rFonts w:ascii="標楷體" w:eastAsia="標楷體" w:hAnsi="標楷體" w:hint="eastAsia"/>
          <w:sz w:val="32"/>
          <w:szCs w:val="32"/>
        </w:rPr>
        <w:t>(</w:t>
      </w:r>
      <w:r w:rsidR="00E4024A">
        <w:rPr>
          <w:rFonts w:ascii="標楷體" w:eastAsia="標楷體" w:hAnsi="標楷體" w:hint="eastAsia"/>
          <w:sz w:val="32"/>
          <w:szCs w:val="32"/>
        </w:rPr>
        <w:t>四</w:t>
      </w:r>
      <w:r w:rsidR="00491A82" w:rsidRPr="00390ED2">
        <w:rPr>
          <w:rFonts w:ascii="標楷體" w:eastAsia="標楷體" w:hAnsi="標楷體" w:hint="eastAsia"/>
          <w:sz w:val="32"/>
          <w:szCs w:val="32"/>
        </w:rPr>
        <w:t>)</w:t>
      </w:r>
      <w:r w:rsidRPr="00390ED2">
        <w:rPr>
          <w:rFonts w:ascii="標楷體" w:eastAsia="標楷體" w:hAnsi="標楷體" w:hint="eastAsia"/>
          <w:sz w:val="32"/>
          <w:szCs w:val="32"/>
        </w:rPr>
        <w:t>校園性別暴力國賠案件內部結構</w:t>
      </w:r>
      <w:r w:rsidR="00AF4691" w:rsidRPr="00390ED2">
        <w:rPr>
          <w:rFonts w:ascii="標楷體" w:eastAsia="標楷體" w:hAnsi="標楷體" w:hint="eastAsia"/>
          <w:sz w:val="32"/>
          <w:szCs w:val="32"/>
        </w:rPr>
        <w:t>(7件)</w:t>
      </w:r>
    </w:p>
    <w:p w14:paraId="09C74FDC" w14:textId="63F96550" w:rsidR="00AF4691" w:rsidRPr="00390ED2" w:rsidRDefault="00745A05" w:rsidP="00AF4691">
      <w:pPr>
        <w:spacing w:after="0" w:line="480" w:lineRule="exact"/>
        <w:ind w:leftChars="400" w:left="960"/>
        <w:rPr>
          <w:rFonts w:ascii="標楷體" w:eastAsia="標楷體" w:hAnsi="標楷體"/>
          <w:sz w:val="32"/>
          <w:szCs w:val="32"/>
        </w:rPr>
      </w:pPr>
      <w:r w:rsidRPr="00390ED2">
        <w:rPr>
          <w:rFonts w:ascii="標楷體" w:eastAsia="標楷體" w:hAnsi="標楷體" w:hint="eastAsia"/>
          <w:sz w:val="32"/>
          <w:szCs w:val="32"/>
        </w:rPr>
        <w:t>1.</w:t>
      </w:r>
      <w:r w:rsidR="00AF4691" w:rsidRPr="00390ED2">
        <w:rPr>
          <w:rFonts w:ascii="標楷體" w:eastAsia="標楷體" w:hAnsi="標楷體"/>
          <w:sz w:val="32"/>
          <w:szCs w:val="32"/>
        </w:rPr>
        <w:t>當事人關係：以教師對學生占比最高</w:t>
      </w:r>
      <w:r w:rsidR="00AF4691" w:rsidRPr="00390ED2">
        <w:rPr>
          <w:rFonts w:ascii="標楷體" w:eastAsia="標楷體" w:hAnsi="標楷體" w:hint="eastAsia"/>
          <w:sz w:val="32"/>
          <w:szCs w:val="32"/>
        </w:rPr>
        <w:t>(6件)</w:t>
      </w:r>
      <w:r w:rsidR="00AF4691" w:rsidRPr="00390ED2">
        <w:rPr>
          <w:rFonts w:ascii="標楷體" w:eastAsia="標楷體" w:hAnsi="標楷體"/>
          <w:sz w:val="32"/>
          <w:szCs w:val="32"/>
        </w:rPr>
        <w:t>，突顯權勢關係影響</w:t>
      </w:r>
      <w:r w:rsidR="00AF4691" w:rsidRPr="00390ED2">
        <w:rPr>
          <w:rFonts w:ascii="標楷體" w:eastAsia="標楷體" w:hAnsi="標楷體" w:hint="eastAsia"/>
          <w:sz w:val="32"/>
          <w:szCs w:val="32"/>
        </w:rPr>
        <w:t>。</w:t>
      </w:r>
    </w:p>
    <w:p w14:paraId="3E4F594E" w14:textId="0CA27614" w:rsidR="00AF4691" w:rsidRPr="00AF4691" w:rsidRDefault="00AF4691" w:rsidP="00AF4691">
      <w:pPr>
        <w:spacing w:after="0" w:line="480" w:lineRule="exact"/>
        <w:ind w:leftChars="400" w:left="960"/>
        <w:rPr>
          <w:rFonts w:ascii="標楷體" w:eastAsia="標楷體" w:hAnsi="標楷體"/>
          <w:sz w:val="32"/>
          <w:szCs w:val="32"/>
        </w:rPr>
      </w:pPr>
      <w:r w:rsidRPr="00390ED2">
        <w:rPr>
          <w:rFonts w:ascii="標楷體" w:eastAsia="標楷體" w:hAnsi="標楷體" w:hint="eastAsia"/>
          <w:sz w:val="32"/>
          <w:szCs w:val="32"/>
        </w:rPr>
        <w:t>2.</w:t>
      </w:r>
      <w:r w:rsidRPr="00AF4691">
        <w:rPr>
          <w:rFonts w:ascii="標楷體" w:eastAsia="標楷體" w:hAnsi="標楷體"/>
          <w:sz w:val="32"/>
          <w:szCs w:val="32"/>
        </w:rPr>
        <w:t>被害人年齡：以未成年者為主，尤其集中在未滿14歲者</w:t>
      </w:r>
      <w:r w:rsidRPr="00390ED2">
        <w:rPr>
          <w:rFonts w:ascii="標楷體" w:eastAsia="標楷體" w:hAnsi="標楷體" w:hint="eastAsia"/>
          <w:sz w:val="32"/>
          <w:szCs w:val="32"/>
        </w:rPr>
        <w:t>(7件)。</w:t>
      </w:r>
    </w:p>
    <w:p w14:paraId="0521C986" w14:textId="530753A6" w:rsidR="00AF4691" w:rsidRPr="00AF4691" w:rsidRDefault="00E74960" w:rsidP="00AF4691">
      <w:pPr>
        <w:spacing w:after="0" w:line="480" w:lineRule="exact"/>
        <w:ind w:leftChars="400" w:left="960"/>
        <w:rPr>
          <w:rFonts w:ascii="標楷體" w:eastAsia="標楷體" w:hAnsi="標楷體"/>
          <w:sz w:val="32"/>
          <w:szCs w:val="32"/>
        </w:rPr>
      </w:pPr>
      <w:r w:rsidRPr="00390ED2">
        <w:rPr>
          <w:rFonts w:ascii="標楷體" w:eastAsia="標楷體" w:hAnsi="標楷體" w:hint="eastAsia"/>
          <w:sz w:val="32"/>
          <w:szCs w:val="32"/>
        </w:rPr>
        <w:t>3.</w:t>
      </w:r>
      <w:r w:rsidR="00AF4691" w:rsidRPr="00AF4691">
        <w:rPr>
          <w:rFonts w:ascii="標楷體" w:eastAsia="標楷體" w:hAnsi="標楷體"/>
          <w:sz w:val="32"/>
          <w:szCs w:val="32"/>
        </w:rPr>
        <w:t>被害人性別：多為男性</w:t>
      </w:r>
      <w:r w:rsidR="00390ED2" w:rsidRPr="00390ED2">
        <w:rPr>
          <w:rFonts w:ascii="標楷體" w:eastAsia="標楷體" w:hAnsi="標楷體" w:hint="eastAsia"/>
          <w:sz w:val="32"/>
          <w:szCs w:val="32"/>
        </w:rPr>
        <w:t>。</w:t>
      </w:r>
    </w:p>
    <w:p w14:paraId="7C3CD864" w14:textId="5B20FB38" w:rsidR="00AF4691" w:rsidRPr="00AF4691" w:rsidRDefault="00E74960" w:rsidP="00AF4691">
      <w:pPr>
        <w:spacing w:after="0" w:line="480" w:lineRule="exact"/>
        <w:ind w:leftChars="400" w:left="960"/>
        <w:rPr>
          <w:rFonts w:ascii="標楷體" w:eastAsia="標楷體" w:hAnsi="標楷體"/>
          <w:sz w:val="32"/>
          <w:szCs w:val="32"/>
        </w:rPr>
      </w:pPr>
      <w:r w:rsidRPr="00390ED2">
        <w:rPr>
          <w:rFonts w:ascii="標楷體" w:eastAsia="標楷體" w:hAnsi="標楷體" w:hint="eastAsia"/>
          <w:sz w:val="32"/>
          <w:szCs w:val="32"/>
        </w:rPr>
        <w:t>4.</w:t>
      </w:r>
      <w:r w:rsidR="00AF4691" w:rsidRPr="00AF4691">
        <w:rPr>
          <w:rFonts w:ascii="標楷體" w:eastAsia="標楷體" w:hAnsi="標楷體"/>
          <w:sz w:val="32"/>
          <w:szCs w:val="32"/>
        </w:rPr>
        <w:t>行為人性別：多為男性</w:t>
      </w:r>
      <w:r w:rsidR="00390ED2" w:rsidRPr="00390ED2">
        <w:rPr>
          <w:rFonts w:ascii="標楷體" w:eastAsia="標楷體" w:hAnsi="標楷體" w:hint="eastAsia"/>
          <w:sz w:val="32"/>
          <w:szCs w:val="32"/>
        </w:rPr>
        <w:t>。</w:t>
      </w:r>
    </w:p>
    <w:p w14:paraId="7902847A" w14:textId="28D3827C" w:rsidR="00D4408E" w:rsidRDefault="00745A05" w:rsidP="0031541D">
      <w:pPr>
        <w:spacing w:after="0" w:line="480" w:lineRule="exact"/>
        <w:ind w:leftChars="400" w:left="960"/>
        <w:rPr>
          <w:rFonts w:ascii="標楷體" w:eastAsia="標楷體" w:hAnsi="標楷體"/>
          <w:sz w:val="32"/>
          <w:szCs w:val="32"/>
        </w:rPr>
      </w:pPr>
      <w:r w:rsidRPr="00390ED2">
        <w:rPr>
          <w:rFonts w:ascii="標楷體" w:eastAsia="標楷體" w:hAnsi="標楷體" w:hint="eastAsia"/>
          <w:sz w:val="32"/>
          <w:szCs w:val="32"/>
        </w:rPr>
        <w:t xml:space="preserve">　　</w:t>
      </w:r>
      <w:r w:rsidR="00D4408E" w:rsidRPr="00390ED2">
        <w:rPr>
          <w:rFonts w:ascii="標楷體" w:eastAsia="標楷體" w:hAnsi="標楷體"/>
          <w:sz w:val="32"/>
          <w:szCs w:val="32"/>
        </w:rPr>
        <w:t>從國賠請求案件中</w:t>
      </w:r>
      <w:r w:rsidR="00AD0D57">
        <w:rPr>
          <w:rFonts w:ascii="標楷體" w:eastAsia="標楷體" w:hAnsi="標楷體"/>
          <w:sz w:val="32"/>
          <w:szCs w:val="32"/>
        </w:rPr>
        <w:t>請求權人</w:t>
      </w:r>
      <w:r w:rsidR="00D4408E" w:rsidRPr="00390ED2">
        <w:rPr>
          <w:rFonts w:ascii="標楷體" w:eastAsia="標楷體" w:hAnsi="標楷體"/>
          <w:sz w:val="32"/>
          <w:szCs w:val="32"/>
        </w:rPr>
        <w:t>性別分布觀察，可見男性居</w:t>
      </w:r>
      <w:r w:rsidR="00D4408E" w:rsidRPr="00D4408E">
        <w:rPr>
          <w:rFonts w:ascii="標楷體" w:eastAsia="標楷體" w:hAnsi="標楷體"/>
          <w:sz w:val="32"/>
          <w:szCs w:val="32"/>
        </w:rPr>
        <w:t>多，反映出男性較女性更傾向透過法律程</w:t>
      </w:r>
      <w:r w:rsidR="00D4408E" w:rsidRPr="00D4408E">
        <w:rPr>
          <w:rFonts w:ascii="標楷體" w:eastAsia="標楷體" w:hAnsi="標楷體"/>
          <w:sz w:val="32"/>
          <w:szCs w:val="32"/>
        </w:rPr>
        <w:lastRenderedPageBreak/>
        <w:t>序爭取權益。此現象可能與性別角色期待有關，例如社會對男性主張正義的鼓勵，相對之下女性則可能因害怕污名、二次傷害而選擇沈默或非訴訟途徑處理。</w:t>
      </w:r>
      <w:proofErr w:type="gramStart"/>
      <w:r w:rsidR="00D4408E" w:rsidRPr="00D4408E">
        <w:rPr>
          <w:rFonts w:ascii="標楷體" w:eastAsia="標楷體" w:hAnsi="標楷體"/>
          <w:sz w:val="32"/>
          <w:szCs w:val="32"/>
        </w:rPr>
        <w:t>此外，</w:t>
      </w:r>
      <w:proofErr w:type="gramEnd"/>
      <w:r w:rsidR="00D4408E" w:rsidRPr="00D4408E">
        <w:rPr>
          <w:rFonts w:ascii="標楷體" w:eastAsia="標楷體" w:hAnsi="標楷體"/>
          <w:sz w:val="32"/>
          <w:szCs w:val="32"/>
        </w:rPr>
        <w:t>若</w:t>
      </w:r>
      <w:r w:rsidR="00AD0D57">
        <w:rPr>
          <w:rFonts w:ascii="標楷體" w:eastAsia="標楷體" w:hAnsi="標楷體"/>
          <w:sz w:val="32"/>
          <w:szCs w:val="32"/>
        </w:rPr>
        <w:t>請求權人</w:t>
      </w:r>
      <w:r w:rsidR="00D4408E" w:rsidRPr="00D4408E">
        <w:rPr>
          <w:rFonts w:ascii="標楷體" w:eastAsia="標楷體" w:hAnsi="標楷體"/>
          <w:sz w:val="32"/>
          <w:szCs w:val="32"/>
        </w:rPr>
        <w:t>為未成年者，國賠多由父母代為提起，且未見父親單獨提起案件的情形，顯示女性照顧者在性別暴力事件後續協助中角色較為突出，反映性別角色分工在司法參與中的間接影響。</w:t>
      </w:r>
      <w:proofErr w:type="gramStart"/>
      <w:r w:rsidR="00E906F1">
        <w:rPr>
          <w:rFonts w:ascii="標楷體" w:eastAsia="標楷體" w:hAnsi="標楷體" w:hint="eastAsia"/>
          <w:sz w:val="32"/>
          <w:szCs w:val="32"/>
        </w:rPr>
        <w:t>再者，</w:t>
      </w:r>
      <w:proofErr w:type="gramEnd"/>
      <w:r w:rsidR="00D4408E" w:rsidRPr="00D4408E">
        <w:rPr>
          <w:rFonts w:ascii="標楷體" w:eastAsia="標楷體" w:hAnsi="標楷體"/>
          <w:sz w:val="32"/>
          <w:szCs w:val="32"/>
        </w:rPr>
        <w:t>被害人以男性為主，且多為未滿14歲兒童，顯示男童於校園性別暴力事件中處境不利。傳統觀念認為男童應能承受玩笑與管教，使加害行為易被合理化與忽視</w:t>
      </w:r>
      <w:r w:rsidR="00506360">
        <w:rPr>
          <w:rFonts w:ascii="標楷體" w:eastAsia="標楷體" w:hAnsi="標楷體" w:hint="eastAsia"/>
          <w:sz w:val="32"/>
          <w:szCs w:val="32"/>
        </w:rPr>
        <w:t>，</w:t>
      </w:r>
      <w:r w:rsidR="00D4408E" w:rsidRPr="00D4408E">
        <w:rPr>
          <w:rFonts w:ascii="標楷體" w:eastAsia="標楷體" w:hAnsi="標楷體"/>
          <w:sz w:val="32"/>
          <w:szCs w:val="32"/>
        </w:rPr>
        <w:t>教師對男童的不當行為不僅較難被發現，且可能長期未被揭露，部分案例中甚至歷經十年以上才由被害人提起國賠請求。</w:t>
      </w:r>
      <w:proofErr w:type="gramStart"/>
      <w:r w:rsidR="00D4408E" w:rsidRPr="00D4408E">
        <w:rPr>
          <w:rFonts w:ascii="標楷體" w:eastAsia="標楷體" w:hAnsi="標楷體"/>
          <w:sz w:val="32"/>
          <w:szCs w:val="32"/>
        </w:rPr>
        <w:t>此外，</w:t>
      </w:r>
      <w:proofErr w:type="gramEnd"/>
      <w:r w:rsidR="00D4408E" w:rsidRPr="00D4408E">
        <w:rPr>
          <w:rFonts w:ascii="標楷體" w:eastAsia="標楷體" w:hAnsi="標楷體"/>
          <w:sz w:val="32"/>
          <w:szCs w:val="32"/>
        </w:rPr>
        <w:t>男性行為人對同性</w:t>
      </w:r>
      <w:r w:rsidR="003C7446">
        <w:rPr>
          <w:rFonts w:ascii="標楷體" w:eastAsia="標楷體" w:hAnsi="標楷體" w:hint="eastAsia"/>
          <w:sz w:val="32"/>
          <w:szCs w:val="32"/>
        </w:rPr>
        <w:t>加害</w:t>
      </w:r>
      <w:r w:rsidR="00D4408E" w:rsidRPr="00D4408E">
        <w:rPr>
          <w:rFonts w:ascii="標楷體" w:eastAsia="標楷體" w:hAnsi="標楷體"/>
          <w:sz w:val="32"/>
          <w:szCs w:val="32"/>
        </w:rPr>
        <w:t>的案件比例亦高，顯示同性間性別暴力的隱蔽性與合理化問題仍待正視。</w:t>
      </w:r>
    </w:p>
    <w:p w14:paraId="703A0783" w14:textId="608C6DAB" w:rsidR="00A613FF" w:rsidRDefault="00A613FF" w:rsidP="00A613FF">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w:t>
      </w:r>
      <w:r w:rsidR="00E4024A">
        <w:rPr>
          <w:rFonts w:ascii="標楷體" w:eastAsia="標楷體" w:hAnsi="標楷體" w:hint="eastAsia"/>
          <w:sz w:val="32"/>
          <w:szCs w:val="32"/>
        </w:rPr>
        <w:t>五</w:t>
      </w:r>
      <w:r w:rsidRPr="00B418B8">
        <w:rPr>
          <w:rFonts w:ascii="標楷體" w:eastAsia="標楷體" w:hAnsi="標楷體" w:hint="eastAsia"/>
          <w:sz w:val="32"/>
          <w:szCs w:val="32"/>
        </w:rPr>
        <w:t>)</w:t>
      </w:r>
      <w:r w:rsidR="00F14DCB" w:rsidRPr="00F14DCB">
        <w:rPr>
          <w:rFonts w:ascii="標楷體" w:eastAsia="標楷體" w:hAnsi="標楷體" w:hint="eastAsia"/>
          <w:sz w:val="32"/>
          <w:szCs w:val="32"/>
        </w:rPr>
        <w:t>申請結果統計</w:t>
      </w:r>
    </w:p>
    <w:p w14:paraId="7D3F2931" w14:textId="789AAE13" w:rsidR="00A613FF" w:rsidRDefault="00A613FF" w:rsidP="00A613FF">
      <w:pPr>
        <w:spacing w:after="0" w:line="480" w:lineRule="exact"/>
        <w:ind w:leftChars="400" w:left="960"/>
        <w:rPr>
          <w:rFonts w:ascii="標楷體" w:eastAsia="標楷體" w:hAnsi="標楷體"/>
          <w:sz w:val="32"/>
          <w:szCs w:val="32"/>
        </w:rPr>
      </w:pPr>
      <w:r w:rsidRPr="009A489E">
        <w:rPr>
          <w:rFonts w:ascii="標楷體" w:eastAsia="標楷體" w:hAnsi="標楷體" w:hint="eastAsia"/>
          <w:sz w:val="32"/>
          <w:szCs w:val="32"/>
        </w:rPr>
        <w:t>1.</w:t>
      </w:r>
      <w:r w:rsidR="00466297" w:rsidRPr="00F14DCB">
        <w:rPr>
          <w:rFonts w:ascii="標楷體" w:eastAsia="標楷體" w:hAnsi="標楷體" w:hint="eastAsia"/>
          <w:sz w:val="32"/>
          <w:szCs w:val="32"/>
        </w:rPr>
        <w:t xml:space="preserve">拒絕賠償 </w:t>
      </w:r>
      <w:r w:rsidR="00466297">
        <w:rPr>
          <w:rFonts w:ascii="標楷體" w:eastAsia="標楷體" w:hAnsi="標楷體" w:hint="eastAsia"/>
          <w:sz w:val="32"/>
          <w:szCs w:val="32"/>
        </w:rPr>
        <w:t>6</w:t>
      </w:r>
      <w:r w:rsidR="00466297" w:rsidRPr="00F14DCB">
        <w:rPr>
          <w:rFonts w:ascii="標楷體" w:eastAsia="標楷體" w:hAnsi="標楷體" w:hint="eastAsia"/>
          <w:sz w:val="32"/>
          <w:szCs w:val="32"/>
        </w:rPr>
        <w:t xml:space="preserve"> 件</w:t>
      </w:r>
      <w:r w:rsidR="00F14DCB" w:rsidRPr="00F14DCB">
        <w:rPr>
          <w:rFonts w:ascii="標楷體" w:eastAsia="標楷體" w:hAnsi="標楷體" w:hint="eastAsia"/>
          <w:sz w:val="32"/>
          <w:szCs w:val="32"/>
        </w:rPr>
        <w:t>（</w:t>
      </w:r>
      <w:r w:rsidR="00466297">
        <w:rPr>
          <w:rFonts w:ascii="標楷體" w:eastAsia="標楷體" w:hAnsi="標楷體" w:hint="eastAsia"/>
          <w:sz w:val="32"/>
          <w:szCs w:val="32"/>
        </w:rPr>
        <w:t>6</w:t>
      </w:r>
      <w:r w:rsidR="00F14DCB" w:rsidRPr="00F14DCB">
        <w:rPr>
          <w:rFonts w:ascii="標楷體" w:eastAsia="標楷體" w:hAnsi="標楷體" w:hint="eastAsia"/>
          <w:sz w:val="32"/>
          <w:szCs w:val="32"/>
        </w:rPr>
        <w:t>0%）</w:t>
      </w:r>
      <w:r w:rsidRPr="009A489E">
        <w:rPr>
          <w:rFonts w:ascii="標楷體" w:eastAsia="標楷體" w:hAnsi="標楷體" w:hint="eastAsia"/>
          <w:sz w:val="32"/>
          <w:szCs w:val="32"/>
        </w:rPr>
        <w:br/>
        <w:t>2.</w:t>
      </w:r>
      <w:r w:rsidR="00466297" w:rsidRPr="00466297">
        <w:rPr>
          <w:rFonts w:ascii="標楷體" w:eastAsia="標楷體" w:hAnsi="標楷體" w:hint="eastAsia"/>
          <w:sz w:val="32"/>
          <w:szCs w:val="32"/>
        </w:rPr>
        <w:t>協議不成立</w:t>
      </w:r>
      <w:r w:rsidR="00466297" w:rsidRPr="00F14DCB">
        <w:rPr>
          <w:rFonts w:ascii="標楷體" w:eastAsia="標楷體" w:hAnsi="標楷體" w:hint="eastAsia"/>
          <w:sz w:val="32"/>
          <w:szCs w:val="32"/>
        </w:rPr>
        <w:t xml:space="preserve"> </w:t>
      </w:r>
      <w:r w:rsidR="00466297">
        <w:rPr>
          <w:rFonts w:ascii="標楷體" w:eastAsia="標楷體" w:hAnsi="標楷體" w:hint="eastAsia"/>
          <w:sz w:val="32"/>
          <w:szCs w:val="32"/>
        </w:rPr>
        <w:t>3</w:t>
      </w:r>
      <w:r w:rsidR="00466297" w:rsidRPr="00F14DCB">
        <w:rPr>
          <w:rFonts w:ascii="標楷體" w:eastAsia="標楷體" w:hAnsi="標楷體" w:hint="eastAsia"/>
          <w:sz w:val="32"/>
          <w:szCs w:val="32"/>
        </w:rPr>
        <w:t xml:space="preserve"> 件</w:t>
      </w:r>
      <w:r w:rsidR="00F14DCB" w:rsidRPr="00F14DCB">
        <w:rPr>
          <w:rFonts w:ascii="標楷體" w:eastAsia="標楷體" w:hAnsi="標楷體" w:hint="eastAsia"/>
          <w:sz w:val="32"/>
          <w:szCs w:val="32"/>
        </w:rPr>
        <w:t>（30%）</w:t>
      </w:r>
      <w:r w:rsidRPr="009A489E">
        <w:rPr>
          <w:rFonts w:ascii="標楷體" w:eastAsia="標楷體" w:hAnsi="標楷體" w:hint="eastAsia"/>
          <w:sz w:val="32"/>
          <w:szCs w:val="32"/>
        </w:rPr>
        <w:br/>
        <w:t>3.</w:t>
      </w:r>
      <w:proofErr w:type="gramStart"/>
      <w:r w:rsidR="00466297" w:rsidRPr="00466297">
        <w:rPr>
          <w:rFonts w:ascii="標楷體" w:eastAsia="標楷體" w:hAnsi="標楷體" w:hint="eastAsia"/>
          <w:sz w:val="32"/>
          <w:szCs w:val="32"/>
        </w:rPr>
        <w:t>逕</w:t>
      </w:r>
      <w:proofErr w:type="gramEnd"/>
      <w:r w:rsidR="00466297" w:rsidRPr="00466297">
        <w:rPr>
          <w:rFonts w:ascii="標楷體" w:eastAsia="標楷體" w:hAnsi="標楷體" w:hint="eastAsia"/>
          <w:sz w:val="32"/>
          <w:szCs w:val="32"/>
        </w:rPr>
        <w:t>提訴訟</w:t>
      </w:r>
      <w:r w:rsidR="00F14DCB" w:rsidRPr="00F14DCB">
        <w:rPr>
          <w:rFonts w:ascii="標楷體" w:eastAsia="標楷體" w:hAnsi="標楷體" w:hint="eastAsia"/>
          <w:sz w:val="32"/>
          <w:szCs w:val="32"/>
        </w:rPr>
        <w:t xml:space="preserve"> </w:t>
      </w:r>
      <w:r w:rsidR="00466297">
        <w:rPr>
          <w:rFonts w:ascii="標楷體" w:eastAsia="標楷體" w:hAnsi="標楷體" w:hint="eastAsia"/>
          <w:sz w:val="32"/>
          <w:szCs w:val="32"/>
        </w:rPr>
        <w:t>1</w:t>
      </w:r>
      <w:r w:rsidR="00F14DCB" w:rsidRPr="00F14DCB">
        <w:rPr>
          <w:rFonts w:ascii="標楷體" w:eastAsia="標楷體" w:hAnsi="標楷體" w:hint="eastAsia"/>
          <w:sz w:val="32"/>
          <w:szCs w:val="32"/>
        </w:rPr>
        <w:t xml:space="preserve"> 件（</w:t>
      </w:r>
      <w:r w:rsidR="00466297">
        <w:rPr>
          <w:rFonts w:ascii="標楷體" w:eastAsia="標楷體" w:hAnsi="標楷體" w:hint="eastAsia"/>
          <w:sz w:val="32"/>
          <w:szCs w:val="32"/>
        </w:rPr>
        <w:t>1</w:t>
      </w:r>
      <w:r w:rsidR="00F14DCB" w:rsidRPr="00F14DCB">
        <w:rPr>
          <w:rFonts w:ascii="標楷體" w:eastAsia="標楷體" w:hAnsi="標楷體" w:hint="eastAsia"/>
          <w:sz w:val="32"/>
          <w:szCs w:val="32"/>
        </w:rPr>
        <w:t>0%）</w:t>
      </w:r>
    </w:p>
    <w:p w14:paraId="30FA9E27" w14:textId="431BE909" w:rsidR="00F14DCB" w:rsidRDefault="00F14DCB" w:rsidP="00A613FF">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00FD72DC" w:rsidRPr="00FD72DC">
        <w:rPr>
          <w:rFonts w:ascii="標楷體" w:eastAsia="標楷體" w:hAnsi="標楷體"/>
          <w:sz w:val="32"/>
          <w:szCs w:val="32"/>
        </w:rPr>
        <w:t>根據109年至113年性別暴力國賠案件申請結果統計，共有</w:t>
      </w:r>
      <w:r w:rsidR="0006122D">
        <w:rPr>
          <w:rFonts w:ascii="標楷體" w:eastAsia="標楷體" w:hAnsi="標楷體" w:hint="eastAsia"/>
          <w:sz w:val="32"/>
          <w:szCs w:val="32"/>
        </w:rPr>
        <w:t>6</w:t>
      </w:r>
      <w:r w:rsidR="00FD72DC" w:rsidRPr="00FD72DC">
        <w:rPr>
          <w:rFonts w:ascii="標楷體" w:eastAsia="標楷體" w:hAnsi="標楷體"/>
          <w:sz w:val="32"/>
          <w:szCs w:val="32"/>
        </w:rPr>
        <w:t>件（</w:t>
      </w:r>
      <w:r w:rsidR="0006122D">
        <w:rPr>
          <w:rFonts w:ascii="標楷體" w:eastAsia="標楷體" w:hAnsi="標楷體" w:hint="eastAsia"/>
          <w:sz w:val="32"/>
          <w:szCs w:val="32"/>
        </w:rPr>
        <w:t>6</w:t>
      </w:r>
      <w:r w:rsidR="00FD72DC" w:rsidRPr="00FD72DC">
        <w:rPr>
          <w:rFonts w:ascii="標楷體" w:eastAsia="標楷體" w:hAnsi="標楷體"/>
          <w:sz w:val="32"/>
          <w:szCs w:val="32"/>
        </w:rPr>
        <w:t>0%）</w:t>
      </w:r>
      <w:r w:rsidR="0006122D" w:rsidRPr="00F14DCB">
        <w:rPr>
          <w:rFonts w:ascii="標楷體" w:eastAsia="標楷體" w:hAnsi="標楷體" w:hint="eastAsia"/>
          <w:sz w:val="32"/>
          <w:szCs w:val="32"/>
        </w:rPr>
        <w:t>拒絕賠償</w:t>
      </w:r>
      <w:r w:rsidR="00FD72DC" w:rsidRPr="00FD72DC">
        <w:rPr>
          <w:rFonts w:ascii="標楷體" w:eastAsia="標楷體" w:hAnsi="標楷體"/>
          <w:sz w:val="32"/>
          <w:szCs w:val="32"/>
        </w:rPr>
        <w:t>，</w:t>
      </w:r>
      <w:r w:rsidR="00054AFA" w:rsidRPr="00FD72DC">
        <w:rPr>
          <w:rFonts w:ascii="標楷體" w:eastAsia="標楷體" w:hAnsi="標楷體"/>
          <w:sz w:val="32"/>
          <w:szCs w:val="32"/>
        </w:rPr>
        <w:t>主因多為證據不足或認定程序存有爭議，反映目前國賠制度在處理性別暴力案件上</w:t>
      </w:r>
      <w:r w:rsidR="003662A8">
        <w:rPr>
          <w:rFonts w:ascii="標楷體" w:eastAsia="標楷體" w:hAnsi="標楷體" w:hint="eastAsia"/>
          <w:sz w:val="32"/>
          <w:szCs w:val="32"/>
        </w:rPr>
        <w:t>，</w:t>
      </w:r>
      <w:proofErr w:type="gramStart"/>
      <w:r w:rsidR="00DD7FFD">
        <w:rPr>
          <w:rFonts w:ascii="標楷體" w:eastAsia="標楷體" w:hAnsi="標楷體" w:hint="eastAsia"/>
          <w:sz w:val="32"/>
          <w:szCs w:val="32"/>
        </w:rPr>
        <w:t>囿</w:t>
      </w:r>
      <w:proofErr w:type="gramEnd"/>
      <w:r w:rsidR="00DD7FFD">
        <w:rPr>
          <w:rFonts w:ascii="標楷體" w:eastAsia="標楷體" w:hAnsi="標楷體" w:hint="eastAsia"/>
          <w:sz w:val="32"/>
          <w:szCs w:val="32"/>
        </w:rPr>
        <w:t>於上開因素，致</w:t>
      </w:r>
      <w:r w:rsidR="00054AFA" w:rsidRPr="00FD72DC">
        <w:rPr>
          <w:rFonts w:ascii="標楷體" w:eastAsia="標楷體" w:hAnsi="標楷體"/>
          <w:sz w:val="32"/>
          <w:szCs w:val="32"/>
        </w:rPr>
        <w:t>存</w:t>
      </w:r>
      <w:r w:rsidR="007A72A2">
        <w:rPr>
          <w:rFonts w:ascii="標楷體" w:eastAsia="標楷體" w:hAnsi="標楷體" w:hint="eastAsia"/>
          <w:sz w:val="32"/>
          <w:szCs w:val="32"/>
        </w:rPr>
        <w:t>有</w:t>
      </w:r>
      <w:r w:rsidR="00054AFA" w:rsidRPr="00FD72DC">
        <w:rPr>
          <w:rFonts w:ascii="標楷體" w:eastAsia="標楷體" w:hAnsi="標楷體"/>
          <w:sz w:val="32"/>
          <w:szCs w:val="32"/>
        </w:rPr>
        <w:t>審認困難問題</w:t>
      </w:r>
      <w:r w:rsidR="00054AFA">
        <w:rPr>
          <w:rFonts w:ascii="標楷體" w:eastAsia="標楷體" w:hAnsi="標楷體" w:hint="eastAsia"/>
          <w:sz w:val="32"/>
          <w:szCs w:val="32"/>
        </w:rPr>
        <w:t>。</w:t>
      </w:r>
      <w:r w:rsidR="00A12E4C">
        <w:rPr>
          <w:rFonts w:ascii="標楷體" w:eastAsia="標楷體" w:hAnsi="標楷體" w:hint="eastAsia"/>
          <w:sz w:val="32"/>
          <w:szCs w:val="32"/>
        </w:rPr>
        <w:t>又</w:t>
      </w:r>
      <w:r w:rsidR="00054AFA" w:rsidRPr="00FD72DC">
        <w:rPr>
          <w:rFonts w:ascii="標楷體" w:eastAsia="標楷體" w:hAnsi="標楷體"/>
          <w:sz w:val="32"/>
          <w:szCs w:val="32"/>
        </w:rPr>
        <w:t>整體而言</w:t>
      </w:r>
      <w:r w:rsidR="00054AFA" w:rsidRPr="00054AFA">
        <w:rPr>
          <w:rFonts w:ascii="標楷體" w:eastAsia="標楷體" w:hAnsi="標楷體" w:hint="eastAsia"/>
          <w:sz w:val="32"/>
          <w:szCs w:val="32"/>
        </w:rPr>
        <w:t>，約</w:t>
      </w:r>
      <w:r w:rsidR="00A12E4C">
        <w:rPr>
          <w:rFonts w:ascii="標楷體" w:eastAsia="標楷體" w:hAnsi="標楷體" w:hint="eastAsia"/>
          <w:sz w:val="32"/>
          <w:szCs w:val="32"/>
        </w:rPr>
        <w:t>有</w:t>
      </w:r>
      <w:proofErr w:type="gramStart"/>
      <w:r w:rsidR="00054AFA" w:rsidRPr="00054AFA">
        <w:rPr>
          <w:rFonts w:ascii="標楷體" w:eastAsia="標楷體" w:hAnsi="標楷體" w:hint="eastAsia"/>
          <w:sz w:val="32"/>
          <w:szCs w:val="32"/>
        </w:rPr>
        <w:t>4成</w:t>
      </w:r>
      <w:proofErr w:type="gramEnd"/>
      <w:r w:rsidR="00C63A28">
        <w:rPr>
          <w:rFonts w:ascii="標楷體" w:eastAsia="標楷體" w:hAnsi="標楷體" w:hint="eastAsia"/>
          <w:sz w:val="32"/>
          <w:szCs w:val="32"/>
        </w:rPr>
        <w:t>遭拒絕賠償後之</w:t>
      </w:r>
      <w:r w:rsidR="00054AFA" w:rsidRPr="00054AFA">
        <w:rPr>
          <w:rFonts w:ascii="標楷體" w:eastAsia="標楷體" w:hAnsi="標楷體" w:hint="eastAsia"/>
          <w:sz w:val="32"/>
          <w:szCs w:val="32"/>
        </w:rPr>
        <w:t>案件進入</w:t>
      </w:r>
      <w:r w:rsidR="000E4245">
        <w:rPr>
          <w:rFonts w:ascii="標楷體" w:eastAsia="標楷體" w:hAnsi="標楷體" w:hint="eastAsia"/>
          <w:sz w:val="32"/>
          <w:szCs w:val="32"/>
        </w:rPr>
        <w:t>司法</w:t>
      </w:r>
      <w:r w:rsidR="00054AFA" w:rsidRPr="00054AFA">
        <w:rPr>
          <w:rFonts w:ascii="標楷體" w:eastAsia="標楷體" w:hAnsi="標楷體" w:hint="eastAsia"/>
          <w:sz w:val="32"/>
          <w:szCs w:val="32"/>
        </w:rPr>
        <w:t>訴訟程序，</w:t>
      </w:r>
      <w:r w:rsidR="007E6F26">
        <w:rPr>
          <w:rFonts w:ascii="標楷體" w:eastAsia="標楷體" w:hAnsi="標楷體" w:hint="eastAsia"/>
          <w:sz w:val="32"/>
          <w:szCs w:val="32"/>
        </w:rPr>
        <w:t>即</w:t>
      </w:r>
      <w:r w:rsidR="00054AFA" w:rsidRPr="00054AFA">
        <w:rPr>
          <w:rFonts w:ascii="標楷體" w:eastAsia="標楷體" w:hAnsi="標楷體" w:hint="eastAsia"/>
          <w:sz w:val="32"/>
          <w:szCs w:val="32"/>
        </w:rPr>
        <w:t>當事人對</w:t>
      </w:r>
      <w:proofErr w:type="gramStart"/>
      <w:r w:rsidR="00054AFA" w:rsidRPr="00054AFA">
        <w:rPr>
          <w:rFonts w:ascii="標楷體" w:eastAsia="標楷體" w:hAnsi="標楷體" w:hint="eastAsia"/>
          <w:sz w:val="32"/>
          <w:szCs w:val="32"/>
        </w:rPr>
        <w:t>國賠會決議</w:t>
      </w:r>
      <w:proofErr w:type="gramEnd"/>
      <w:r w:rsidR="00054AFA" w:rsidRPr="00054AFA">
        <w:rPr>
          <w:rFonts w:ascii="標楷體" w:eastAsia="標楷體" w:hAnsi="標楷體" w:hint="eastAsia"/>
          <w:sz w:val="32"/>
          <w:szCs w:val="32"/>
        </w:rPr>
        <w:t>不滿意或因雙方對於賠償金額認知差距過大而無法達成協議</w:t>
      </w:r>
      <w:r w:rsidR="00C808FC">
        <w:rPr>
          <w:rFonts w:ascii="標楷體" w:eastAsia="標楷體" w:hAnsi="標楷體" w:hint="eastAsia"/>
          <w:sz w:val="32"/>
          <w:szCs w:val="32"/>
        </w:rPr>
        <w:t>時</w:t>
      </w:r>
      <w:r w:rsidR="00FD72DC" w:rsidRPr="00FD72DC">
        <w:rPr>
          <w:rFonts w:ascii="標楷體" w:eastAsia="標楷體" w:hAnsi="標楷體"/>
          <w:sz w:val="32"/>
          <w:szCs w:val="32"/>
        </w:rPr>
        <w:t>，</w:t>
      </w:r>
      <w:r w:rsidR="004724A3" w:rsidRPr="004724A3">
        <w:rPr>
          <w:rFonts w:ascii="標楷體" w:eastAsia="標楷體" w:hAnsi="標楷體"/>
          <w:sz w:val="32"/>
          <w:szCs w:val="32"/>
        </w:rPr>
        <w:t>仍可依法提起訴訟</w:t>
      </w:r>
      <w:r w:rsidR="004724A3">
        <w:rPr>
          <w:rFonts w:ascii="標楷體" w:eastAsia="標楷體" w:hAnsi="標楷體" w:hint="eastAsia"/>
          <w:sz w:val="32"/>
          <w:szCs w:val="32"/>
        </w:rPr>
        <w:t>，</w:t>
      </w:r>
      <w:r w:rsidR="00B940FB">
        <w:rPr>
          <w:rFonts w:ascii="標楷體" w:eastAsia="標楷體" w:hAnsi="標楷體" w:hint="eastAsia"/>
          <w:sz w:val="32"/>
          <w:szCs w:val="32"/>
        </w:rPr>
        <w:t>顯示</w:t>
      </w:r>
      <w:r w:rsidR="00B940FB" w:rsidRPr="00B940FB">
        <w:rPr>
          <w:rFonts w:ascii="標楷體" w:eastAsia="標楷體" w:hAnsi="標楷體"/>
          <w:sz w:val="32"/>
          <w:szCs w:val="32"/>
        </w:rPr>
        <w:t>國家賠償制度設有完善救濟機制，保障人民在遭受公權力侵害時，</w:t>
      </w:r>
      <w:r w:rsidR="00B940FB" w:rsidRPr="00B940FB">
        <w:rPr>
          <w:rFonts w:ascii="標楷體" w:eastAsia="標楷體" w:hAnsi="標楷體"/>
          <w:sz w:val="32"/>
          <w:szCs w:val="32"/>
        </w:rPr>
        <w:lastRenderedPageBreak/>
        <w:t>得依法主張權利、追求公正賠償。</w:t>
      </w:r>
    </w:p>
    <w:p w14:paraId="21EB39B0" w14:textId="7D54D31D" w:rsidR="000E483E" w:rsidRDefault="00A613FF" w:rsidP="000E483E">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Pr="00B418B8">
        <w:rPr>
          <w:rFonts w:ascii="標楷體" w:eastAsia="標楷體" w:hAnsi="標楷體" w:hint="eastAsia"/>
          <w:sz w:val="32"/>
          <w:szCs w:val="32"/>
        </w:rPr>
        <w:t>(</w:t>
      </w:r>
      <w:r w:rsidR="00E4024A">
        <w:rPr>
          <w:rFonts w:ascii="標楷體" w:eastAsia="標楷體" w:hAnsi="標楷體" w:hint="eastAsia"/>
          <w:sz w:val="32"/>
          <w:szCs w:val="32"/>
        </w:rPr>
        <w:t>六</w:t>
      </w:r>
      <w:r w:rsidRPr="00B418B8">
        <w:rPr>
          <w:rFonts w:ascii="標楷體" w:eastAsia="標楷體" w:hAnsi="標楷體" w:hint="eastAsia"/>
          <w:sz w:val="32"/>
          <w:szCs w:val="32"/>
        </w:rPr>
        <w:t>)</w:t>
      </w:r>
      <w:r w:rsidR="00A61533" w:rsidRPr="00A61533">
        <w:rPr>
          <w:rFonts w:ascii="標楷體" w:eastAsia="標楷體" w:hAnsi="標楷體" w:hint="eastAsia"/>
          <w:sz w:val="32"/>
          <w:szCs w:val="32"/>
        </w:rPr>
        <w:t>現行作法與缺口</w:t>
      </w:r>
    </w:p>
    <w:p w14:paraId="64C92D35" w14:textId="71327122" w:rsidR="00A61533" w:rsidRDefault="000E483E" w:rsidP="00A61533">
      <w:pPr>
        <w:spacing w:after="0" w:line="480" w:lineRule="exact"/>
        <w:ind w:leftChars="400" w:left="960"/>
        <w:rPr>
          <w:rFonts w:ascii="標楷體" w:eastAsia="標楷體" w:hAnsi="標楷體"/>
          <w:sz w:val="32"/>
          <w:szCs w:val="32"/>
        </w:rPr>
      </w:pPr>
      <w:r w:rsidRPr="009A489E">
        <w:rPr>
          <w:rFonts w:ascii="標楷體" w:eastAsia="標楷體" w:hAnsi="標楷體" w:hint="eastAsia"/>
          <w:sz w:val="32"/>
          <w:szCs w:val="32"/>
        </w:rPr>
        <w:t>1.</w:t>
      </w:r>
      <w:r w:rsidR="00A61533" w:rsidRPr="00A61533">
        <w:rPr>
          <w:rFonts w:ascii="標楷體" w:eastAsia="標楷體" w:hAnsi="標楷體" w:hint="eastAsia"/>
          <w:sz w:val="32"/>
          <w:szCs w:val="32"/>
        </w:rPr>
        <w:t>資料</w:t>
      </w:r>
      <w:r w:rsidR="004348E4">
        <w:rPr>
          <w:rFonts w:ascii="標楷體" w:eastAsia="標楷體" w:hAnsi="標楷體" w:hint="eastAsia"/>
          <w:sz w:val="32"/>
          <w:szCs w:val="32"/>
        </w:rPr>
        <w:t>方</w:t>
      </w:r>
      <w:r w:rsidR="00A61533" w:rsidRPr="00A61533">
        <w:rPr>
          <w:rFonts w:ascii="標楷體" w:eastAsia="標楷體" w:hAnsi="標楷體" w:hint="eastAsia"/>
          <w:sz w:val="32"/>
          <w:szCs w:val="32"/>
        </w:rPr>
        <w:t>面：</w:t>
      </w:r>
      <w:r w:rsidR="008D5433">
        <w:rPr>
          <w:rFonts w:ascii="標楷體" w:eastAsia="標楷體" w:hAnsi="標楷體" w:hint="eastAsia"/>
          <w:sz w:val="32"/>
          <w:szCs w:val="32"/>
        </w:rPr>
        <w:t>國家賠償請求書</w:t>
      </w:r>
      <w:r w:rsidR="00B35DE3">
        <w:rPr>
          <w:rFonts w:ascii="標楷體" w:eastAsia="標楷體" w:hAnsi="標楷體" w:hint="eastAsia"/>
          <w:sz w:val="32"/>
          <w:szCs w:val="32"/>
        </w:rPr>
        <w:t>無性別欄位</w:t>
      </w:r>
      <w:r w:rsidR="00A61533" w:rsidRPr="00A61533">
        <w:rPr>
          <w:rFonts w:ascii="標楷體" w:eastAsia="標楷體" w:hAnsi="標楷體" w:hint="eastAsia"/>
          <w:sz w:val="32"/>
          <w:szCs w:val="32"/>
        </w:rPr>
        <w:t>，若要統計跨性別或其他身分，目前需人工備註，建議增設欄位。</w:t>
      </w:r>
      <w:r w:rsidRPr="009A489E">
        <w:rPr>
          <w:rFonts w:ascii="標楷體" w:eastAsia="標楷體" w:hAnsi="標楷體" w:hint="eastAsia"/>
          <w:sz w:val="32"/>
          <w:szCs w:val="32"/>
        </w:rPr>
        <w:br/>
        <w:t>2.</w:t>
      </w:r>
      <w:r w:rsidR="00A61533" w:rsidRPr="00A61533">
        <w:rPr>
          <w:rFonts w:ascii="標楷體" w:eastAsia="標楷體" w:hAnsi="標楷體" w:hint="eastAsia"/>
          <w:sz w:val="32"/>
          <w:szCs w:val="32"/>
        </w:rPr>
        <w:t>證據</w:t>
      </w:r>
      <w:r w:rsidR="004348E4">
        <w:rPr>
          <w:rFonts w:ascii="標楷體" w:eastAsia="標楷體" w:hAnsi="標楷體" w:hint="eastAsia"/>
          <w:sz w:val="32"/>
          <w:szCs w:val="32"/>
        </w:rPr>
        <w:t>方</w:t>
      </w:r>
      <w:r w:rsidR="00A61533" w:rsidRPr="00A61533">
        <w:rPr>
          <w:rFonts w:ascii="標楷體" w:eastAsia="標楷體" w:hAnsi="標楷體" w:hint="eastAsia"/>
          <w:sz w:val="32"/>
          <w:szCs w:val="32"/>
        </w:rPr>
        <w:t>面：學校</w:t>
      </w:r>
      <w:r w:rsidR="007042CD">
        <w:rPr>
          <w:rFonts w:ascii="標楷體" w:eastAsia="標楷體" w:hAnsi="標楷體" w:hint="eastAsia"/>
          <w:sz w:val="32"/>
          <w:szCs w:val="32"/>
        </w:rPr>
        <w:t>或機關</w:t>
      </w:r>
      <w:r w:rsidR="00A61533" w:rsidRPr="00A61533">
        <w:rPr>
          <w:rFonts w:ascii="標楷體" w:eastAsia="標楷體" w:hAnsi="標楷體" w:hint="eastAsia"/>
          <w:sz w:val="32"/>
          <w:szCs w:val="32"/>
        </w:rPr>
        <w:t>需協助蒐集監視器、訪談紀錄，降低舉證門檻。</w:t>
      </w:r>
    </w:p>
    <w:p w14:paraId="7620279D" w14:textId="029C7EED" w:rsidR="00460E9B" w:rsidRDefault="00A61533" w:rsidP="00A61533">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00BE3788" w:rsidRPr="00A61533">
        <w:rPr>
          <w:rFonts w:ascii="標楷體" w:eastAsia="標楷體" w:hAnsi="標楷體"/>
          <w:sz w:val="32"/>
          <w:szCs w:val="32"/>
        </w:rPr>
        <w:t>性別暴力案件雖然在整體通報數中僅占約1%，但其中有高達70%的案件發生在校園，且有一半以上牽涉到14歲以下的兒童與少年，顯示「兒少」以及「教育場域」是當前性別暴力防治工作中亟需優先關注的重點對象。這類案件中，請求權人</w:t>
      </w:r>
      <w:r w:rsidR="00C8734F">
        <w:rPr>
          <w:rFonts w:ascii="標楷體" w:eastAsia="標楷體" w:hAnsi="標楷體" w:hint="eastAsia"/>
          <w:sz w:val="32"/>
          <w:szCs w:val="32"/>
        </w:rPr>
        <w:t>(受害者)</w:t>
      </w:r>
      <w:r w:rsidR="00BE3788" w:rsidRPr="00A61533">
        <w:rPr>
          <w:rFonts w:ascii="標楷體" w:eastAsia="標楷體" w:hAnsi="標楷體"/>
          <w:sz w:val="32"/>
          <w:szCs w:val="32"/>
        </w:rPr>
        <w:t>以男性居多，這提醒我們在設計宣導資料、申請表單或服務機制時，不應僅聚焦於女性使用者，而需同時納入父母與監護人的角色考量，確保政策與服務的性別中立性與實用性。</w:t>
      </w:r>
      <w:proofErr w:type="gramStart"/>
      <w:r w:rsidR="00BE3788" w:rsidRPr="00A61533">
        <w:rPr>
          <w:rFonts w:ascii="標楷體" w:eastAsia="標楷體" w:hAnsi="標楷體"/>
          <w:sz w:val="32"/>
          <w:szCs w:val="32"/>
        </w:rPr>
        <w:t>此外，</w:t>
      </w:r>
      <w:proofErr w:type="gramEnd"/>
      <w:r w:rsidR="00BE3788" w:rsidRPr="00A61533">
        <w:rPr>
          <w:rFonts w:ascii="標楷體" w:eastAsia="標楷體" w:hAnsi="標楷體"/>
          <w:sz w:val="32"/>
          <w:szCs w:val="32"/>
        </w:rPr>
        <w:t>許多案件因證據不足而導致拒賠，顯示在第一線接觸到受害者的學校與社政系統應更加主動協助相關資料的留存與佐證，減少個案權益受損的情形。在系統建置與服務佈局方面，現有資料庫缺乏對多元性別的識別欄位，這些都是未來在政策執行與制度設計上應持續改進的方向，以提升整體性別暴力防治體系的包容性與效能。</w:t>
      </w:r>
    </w:p>
    <w:p w14:paraId="06E0585A" w14:textId="2B48A9ED" w:rsidR="0094094C" w:rsidRPr="00FB2376" w:rsidRDefault="00FB2376" w:rsidP="00FB2376">
      <w:pPr>
        <w:spacing w:after="0" w:line="480" w:lineRule="exact"/>
        <w:rPr>
          <w:rFonts w:ascii="標楷體" w:eastAsia="標楷體" w:hAnsi="標楷體"/>
          <w:b/>
          <w:bCs/>
          <w:sz w:val="32"/>
          <w:szCs w:val="32"/>
        </w:rPr>
      </w:pPr>
      <w:r w:rsidRPr="00B23064">
        <w:rPr>
          <w:rFonts w:ascii="標楷體" w:eastAsia="標楷體" w:hAnsi="標楷體" w:hint="eastAsia"/>
          <w:b/>
          <w:bCs/>
          <w:sz w:val="32"/>
          <w:szCs w:val="32"/>
        </w:rPr>
        <w:t>四、</w:t>
      </w:r>
      <w:r w:rsidR="0094094C" w:rsidRPr="00B23064">
        <w:rPr>
          <w:rFonts w:ascii="標楷體" w:eastAsia="標楷體" w:hAnsi="標楷體"/>
          <w:b/>
          <w:bCs/>
          <w:sz w:val="32"/>
          <w:szCs w:val="32"/>
        </w:rPr>
        <w:t>制度評估與問題診斷</w:t>
      </w:r>
    </w:p>
    <w:p w14:paraId="0829D6C3" w14:textId="0B02457F" w:rsidR="0094094C" w:rsidRPr="00BE06AA" w:rsidRDefault="0094094C" w:rsidP="00BE06AA">
      <w:pPr>
        <w:pStyle w:val="a9"/>
        <w:numPr>
          <w:ilvl w:val="0"/>
          <w:numId w:val="4"/>
        </w:numPr>
        <w:spacing w:after="0" w:line="480" w:lineRule="exact"/>
        <w:rPr>
          <w:rFonts w:ascii="標楷體" w:eastAsia="標楷體" w:hAnsi="標楷體"/>
          <w:sz w:val="32"/>
          <w:szCs w:val="32"/>
        </w:rPr>
      </w:pPr>
      <w:r w:rsidRPr="00BE06AA">
        <w:rPr>
          <w:rFonts w:ascii="標楷體" w:eastAsia="標楷體" w:hAnsi="標楷體"/>
          <w:sz w:val="32"/>
          <w:szCs w:val="32"/>
        </w:rPr>
        <w:t>多元性別欄位缺失對統計與</w:t>
      </w:r>
      <w:r w:rsidR="008F6166">
        <w:rPr>
          <w:rFonts w:ascii="標楷體" w:eastAsia="標楷體" w:hAnsi="標楷體" w:hint="eastAsia"/>
          <w:sz w:val="32"/>
          <w:szCs w:val="32"/>
        </w:rPr>
        <w:t>判斷</w:t>
      </w:r>
      <w:r w:rsidRPr="00BE06AA">
        <w:rPr>
          <w:rFonts w:ascii="標楷體" w:eastAsia="標楷體" w:hAnsi="標楷體"/>
          <w:sz w:val="32"/>
          <w:szCs w:val="32"/>
        </w:rPr>
        <w:t>之影響</w:t>
      </w:r>
    </w:p>
    <w:p w14:paraId="4D266A57" w14:textId="29859F4A" w:rsidR="00BE06AA" w:rsidRPr="00BE06AA" w:rsidRDefault="00BE06AA" w:rsidP="00BE06AA">
      <w:pPr>
        <w:pStyle w:val="a9"/>
        <w:spacing w:after="0" w:line="480" w:lineRule="exact"/>
        <w:ind w:left="1035"/>
        <w:rPr>
          <w:rFonts w:ascii="標楷體" w:eastAsia="標楷體" w:hAnsi="標楷體"/>
          <w:sz w:val="32"/>
          <w:szCs w:val="32"/>
        </w:rPr>
      </w:pPr>
      <w:r>
        <w:rPr>
          <w:rFonts w:ascii="標楷體" w:eastAsia="標楷體" w:hAnsi="標楷體" w:hint="eastAsia"/>
          <w:sz w:val="32"/>
          <w:szCs w:val="32"/>
        </w:rPr>
        <w:t xml:space="preserve">　　</w:t>
      </w:r>
      <w:r w:rsidRPr="00BE06AA">
        <w:rPr>
          <w:rFonts w:ascii="標楷體" w:eastAsia="標楷體" w:hAnsi="標楷體"/>
          <w:sz w:val="32"/>
          <w:szCs w:val="32"/>
        </w:rPr>
        <w:t>目前國賠</w:t>
      </w:r>
      <w:r w:rsidR="00B858E2">
        <w:rPr>
          <w:rFonts w:ascii="標楷體" w:eastAsia="標楷體" w:hAnsi="標楷體" w:hint="eastAsia"/>
          <w:sz w:val="32"/>
          <w:szCs w:val="32"/>
        </w:rPr>
        <w:t>請求書</w:t>
      </w:r>
      <w:r w:rsidR="007E3AFC">
        <w:rPr>
          <w:rFonts w:ascii="標楷體" w:eastAsia="標楷體" w:hAnsi="標楷體" w:hint="eastAsia"/>
          <w:sz w:val="32"/>
          <w:szCs w:val="32"/>
        </w:rPr>
        <w:t>無性別</w:t>
      </w:r>
      <w:r w:rsidR="007B5A4A">
        <w:rPr>
          <w:rFonts w:ascii="標楷體" w:eastAsia="標楷體" w:hAnsi="標楷體" w:hint="eastAsia"/>
          <w:sz w:val="32"/>
          <w:szCs w:val="32"/>
        </w:rPr>
        <w:t>或</w:t>
      </w:r>
      <w:r w:rsidR="007B5A4A" w:rsidRPr="00BE06AA">
        <w:rPr>
          <w:rFonts w:ascii="標楷體" w:eastAsia="標楷體" w:hAnsi="標楷體"/>
          <w:sz w:val="32"/>
          <w:szCs w:val="32"/>
        </w:rPr>
        <w:t>多元性別</w:t>
      </w:r>
      <w:r w:rsidR="007E3AFC">
        <w:rPr>
          <w:rFonts w:ascii="標楷體" w:eastAsia="標楷體" w:hAnsi="標楷體" w:hint="eastAsia"/>
          <w:sz w:val="32"/>
          <w:szCs w:val="32"/>
        </w:rPr>
        <w:t>欄位</w:t>
      </w:r>
      <w:r w:rsidRPr="00BE06AA">
        <w:rPr>
          <w:rFonts w:ascii="標楷體" w:eastAsia="標楷體" w:hAnsi="標楷體"/>
          <w:sz w:val="32"/>
          <w:szCs w:val="32"/>
        </w:rPr>
        <w:t>，使得實際案件中若涉及</w:t>
      </w:r>
      <w:r w:rsidR="007B5A4A">
        <w:rPr>
          <w:rFonts w:ascii="標楷體" w:eastAsia="標楷體" w:hAnsi="標楷體" w:hint="eastAsia"/>
          <w:sz w:val="32"/>
          <w:szCs w:val="32"/>
        </w:rPr>
        <w:t>兩性或</w:t>
      </w:r>
      <w:r w:rsidRPr="00BE06AA">
        <w:rPr>
          <w:rFonts w:ascii="標楷體" w:eastAsia="標楷體" w:hAnsi="標楷體"/>
          <w:sz w:val="32"/>
          <w:szCs w:val="32"/>
        </w:rPr>
        <w:t>非二元性別者，其處境與經驗難以被納入分析與政策設計，形成隱性排除。此種統計設計限制了性別暴力案件全貌的掌握，也使審議過程難以考量多元性別者在遭遇權力不對等</w:t>
      </w:r>
      <w:r w:rsidRPr="00BE06AA">
        <w:rPr>
          <w:rFonts w:ascii="標楷體" w:eastAsia="標楷體" w:hAnsi="標楷體"/>
          <w:sz w:val="32"/>
          <w:szCs w:val="32"/>
        </w:rPr>
        <w:lastRenderedPageBreak/>
        <w:t>與歧視時的特殊脆弱性。若無法透過性別細分類別進行交叉分析，將使政策</w:t>
      </w:r>
      <w:r w:rsidR="00CD11E6">
        <w:rPr>
          <w:rFonts w:ascii="標楷體" w:eastAsia="標楷體" w:hAnsi="標楷體" w:hint="eastAsia"/>
          <w:sz w:val="32"/>
          <w:szCs w:val="32"/>
        </w:rPr>
        <w:t>判斷</w:t>
      </w:r>
      <w:r w:rsidRPr="00BE06AA">
        <w:rPr>
          <w:rFonts w:ascii="標楷體" w:eastAsia="標楷體" w:hAnsi="標楷體"/>
          <w:sz w:val="32"/>
          <w:szCs w:val="32"/>
        </w:rPr>
        <w:t>與補償機制無法公平回應所有性別群體的權益。</w:t>
      </w:r>
    </w:p>
    <w:p w14:paraId="26278EA3" w14:textId="0C8146F0" w:rsidR="0094094C" w:rsidRPr="0094094C" w:rsidRDefault="007267F6" w:rsidP="0094094C">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0094094C">
        <w:rPr>
          <w:rFonts w:ascii="標楷體" w:eastAsia="標楷體" w:hAnsi="標楷體" w:hint="eastAsia"/>
          <w:sz w:val="32"/>
          <w:szCs w:val="32"/>
        </w:rPr>
        <w:t>(</w:t>
      </w:r>
      <w:r w:rsidR="00480B77">
        <w:rPr>
          <w:rFonts w:ascii="標楷體" w:eastAsia="標楷體" w:hAnsi="標楷體" w:hint="eastAsia"/>
          <w:sz w:val="32"/>
          <w:szCs w:val="32"/>
        </w:rPr>
        <w:t>二</w:t>
      </w:r>
      <w:r w:rsidR="0094094C">
        <w:rPr>
          <w:rFonts w:ascii="標楷體" w:eastAsia="標楷體" w:hAnsi="標楷體" w:hint="eastAsia"/>
          <w:sz w:val="32"/>
          <w:szCs w:val="32"/>
        </w:rPr>
        <w:t>)</w:t>
      </w:r>
      <w:r w:rsidR="0094094C" w:rsidRPr="0094094C">
        <w:rPr>
          <w:rFonts w:ascii="標楷體" w:eastAsia="標楷體" w:hAnsi="標楷體"/>
          <w:sz w:val="32"/>
          <w:szCs w:val="32"/>
        </w:rPr>
        <w:t>從業人員性別敏感度與訓練不足分析</w:t>
      </w:r>
    </w:p>
    <w:p w14:paraId="499E8C4D" w14:textId="400DE32D" w:rsidR="00990B25" w:rsidRDefault="000B356F" w:rsidP="00BE06AA">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00BE06AA" w:rsidRPr="00BE06AA">
        <w:rPr>
          <w:rFonts w:ascii="標楷體" w:eastAsia="標楷體" w:hAnsi="標楷體"/>
          <w:sz w:val="32"/>
          <w:szCs w:val="32"/>
        </w:rPr>
        <w:t>分析國賠案件發現，多數爭議源於早期處理不當、調查程序失衡或未及時介入，顯示第一線公務人員或教育人員對性別暴力事件的敏感度仍顯不足。如教師對學生不當行為遭合理化、或員警執法未遵守性別友善原則，皆顯示專業訓練的缺失。</w:t>
      </w:r>
      <w:r w:rsidR="0091264C" w:rsidRPr="0091264C">
        <w:rPr>
          <w:rFonts w:ascii="標楷體" w:eastAsia="標楷體" w:hAnsi="標楷體" w:hint="eastAsia"/>
          <w:sz w:val="32"/>
          <w:szCs w:val="32"/>
        </w:rPr>
        <w:t>CEDAW第3次國家報告結論性意見與建議</w:t>
      </w:r>
      <w:r w:rsidR="00BE06AA" w:rsidRPr="00BE06AA">
        <w:rPr>
          <w:rFonts w:ascii="標楷體" w:eastAsia="標楷體" w:hAnsi="標楷體"/>
          <w:sz w:val="32"/>
          <w:szCs w:val="32"/>
        </w:rPr>
        <w:t>亦指出，</w:t>
      </w:r>
      <w:r w:rsidR="002F6186" w:rsidRPr="002F6186">
        <w:rPr>
          <w:rFonts w:ascii="標楷體" w:eastAsia="標楷體" w:hAnsi="標楷體" w:hint="eastAsia"/>
          <w:sz w:val="32"/>
          <w:szCs w:val="32"/>
        </w:rPr>
        <w:t>針對所有法官、檢察官、公設辯護人、律師、執法人員、行政人員及專業從業人員，推動具系統性及強制性的婦女人權與性別平等能力建構計畫</w:t>
      </w:r>
      <w:r w:rsidR="00BE06AA" w:rsidRPr="00BE06AA">
        <w:rPr>
          <w:rFonts w:ascii="標楷體" w:eastAsia="標楷體" w:hAnsi="標楷體"/>
          <w:sz w:val="32"/>
          <w:szCs w:val="32"/>
        </w:rPr>
        <w:t>，</w:t>
      </w:r>
      <w:r w:rsidR="003D6A76" w:rsidRPr="003D6A76">
        <w:rPr>
          <w:rFonts w:ascii="標楷體" w:eastAsia="標楷體" w:hAnsi="標楷體" w:hint="eastAsia"/>
          <w:sz w:val="32"/>
          <w:szCs w:val="32"/>
        </w:rPr>
        <w:t>確保能力建構計畫具互動性及脈絡化，才能透過實例中交叉歧視的分析，培養批判能力，從而指認出法律的最佳實踐與不當適用</w:t>
      </w:r>
      <w:r w:rsidR="003D6A76">
        <w:rPr>
          <w:rFonts w:ascii="標楷體" w:eastAsia="標楷體" w:hAnsi="標楷體" w:hint="eastAsia"/>
          <w:sz w:val="32"/>
          <w:szCs w:val="32"/>
        </w:rPr>
        <w:t>，</w:t>
      </w:r>
      <w:r w:rsidR="00BE06AA" w:rsidRPr="00BE06AA">
        <w:rPr>
          <w:rFonts w:ascii="標楷體" w:eastAsia="標楷體" w:hAnsi="標楷體"/>
          <w:sz w:val="32"/>
          <w:szCs w:val="32"/>
        </w:rPr>
        <w:t>避免因性別刻板印象、</w:t>
      </w:r>
      <w:r w:rsidR="009F2940">
        <w:rPr>
          <w:rFonts w:ascii="標楷體" w:eastAsia="標楷體" w:hAnsi="標楷體" w:hint="eastAsia"/>
          <w:sz w:val="32"/>
          <w:szCs w:val="32"/>
        </w:rPr>
        <w:t>歧視，或</w:t>
      </w:r>
      <w:r w:rsidR="00BE06AA" w:rsidRPr="00BE06AA">
        <w:rPr>
          <w:rFonts w:ascii="標楷體" w:eastAsia="標楷體" w:hAnsi="標楷體"/>
          <w:sz w:val="32"/>
          <w:szCs w:val="32"/>
        </w:rPr>
        <w:t>對男性受害者的忽視，導致事件處置延遲或誤判，進一步影響國賠程序與被害人權益實現。</w:t>
      </w:r>
    </w:p>
    <w:p w14:paraId="2646A024" w14:textId="35064DA1" w:rsidR="00555417" w:rsidRDefault="00555417" w:rsidP="00555417">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Pr="00555417">
        <w:rPr>
          <w:rFonts w:ascii="標楷體" w:eastAsia="標楷體" w:hAnsi="標楷體"/>
          <w:sz w:val="32"/>
          <w:szCs w:val="32"/>
        </w:rPr>
        <w:t>現行國家賠償制度在處理性別暴力案件時，雖已有一定行政與法制架構，然從實際案例分析可見仍存</w:t>
      </w:r>
      <w:r w:rsidR="00837F7E">
        <w:rPr>
          <w:rFonts w:ascii="標楷體" w:eastAsia="標楷體" w:hAnsi="標楷體" w:hint="eastAsia"/>
          <w:sz w:val="32"/>
          <w:szCs w:val="32"/>
        </w:rPr>
        <w:t>有</w:t>
      </w:r>
      <w:r w:rsidRPr="00555417">
        <w:rPr>
          <w:rFonts w:ascii="標楷體" w:eastAsia="標楷體" w:hAnsi="標楷體"/>
          <w:sz w:val="32"/>
          <w:szCs w:val="32"/>
        </w:rPr>
        <w:t>制度缺口。首先，性別統計資料</w:t>
      </w:r>
      <w:r w:rsidR="00837F7E">
        <w:rPr>
          <w:rFonts w:ascii="標楷體" w:eastAsia="標楷體" w:hAnsi="標楷體" w:hint="eastAsia"/>
          <w:sz w:val="32"/>
          <w:szCs w:val="32"/>
        </w:rPr>
        <w:t>恐</w:t>
      </w:r>
      <w:r w:rsidRPr="00555417">
        <w:rPr>
          <w:rFonts w:ascii="標楷體" w:eastAsia="標楷體" w:hAnsi="標楷體"/>
          <w:sz w:val="32"/>
          <w:szCs w:val="32"/>
        </w:rPr>
        <w:t>不完整，尤其在多元性別的辨識與紀錄上明顯不足，導致政策</w:t>
      </w:r>
      <w:proofErr w:type="gramStart"/>
      <w:r w:rsidRPr="00555417">
        <w:rPr>
          <w:rFonts w:ascii="標楷體" w:eastAsia="標楷體" w:hAnsi="標楷體"/>
          <w:sz w:val="32"/>
          <w:szCs w:val="32"/>
        </w:rPr>
        <w:t>研</w:t>
      </w:r>
      <w:proofErr w:type="gramEnd"/>
      <w:r w:rsidRPr="00555417">
        <w:rPr>
          <w:rFonts w:ascii="標楷體" w:eastAsia="標楷體" w:hAnsi="標楷體"/>
          <w:sz w:val="32"/>
          <w:szCs w:val="32"/>
        </w:rPr>
        <w:t>擬與資源配置難以精</w:t>
      </w:r>
      <w:proofErr w:type="gramStart"/>
      <w:r w:rsidRPr="00555417">
        <w:rPr>
          <w:rFonts w:ascii="標楷體" w:eastAsia="標楷體" w:hAnsi="標楷體"/>
          <w:sz w:val="32"/>
          <w:szCs w:val="32"/>
        </w:rPr>
        <w:t>準</w:t>
      </w:r>
      <w:proofErr w:type="gramEnd"/>
      <w:r w:rsidRPr="00555417">
        <w:rPr>
          <w:rFonts w:ascii="標楷體" w:eastAsia="標楷體" w:hAnsi="標楷體"/>
          <w:sz w:val="32"/>
          <w:szCs w:val="32"/>
        </w:rPr>
        <w:t>對應受害者需求。其次，從業人員性別敏感度訓練不足，皆反映制度在落實性別正義上的</w:t>
      </w:r>
      <w:r w:rsidR="00653023">
        <w:rPr>
          <w:rFonts w:ascii="標楷體" w:eastAsia="標楷體" w:hAnsi="標楷體" w:hint="eastAsia"/>
          <w:sz w:val="32"/>
          <w:szCs w:val="32"/>
        </w:rPr>
        <w:t>缺失</w:t>
      </w:r>
      <w:r w:rsidRPr="00555417">
        <w:rPr>
          <w:rFonts w:ascii="標楷體" w:eastAsia="標楷體" w:hAnsi="標楷體"/>
          <w:sz w:val="32"/>
          <w:szCs w:val="32"/>
        </w:rPr>
        <w:t>。整體而言，制度需從性別資料、人員培訓、程序設計等層面進行系統性改革。</w:t>
      </w:r>
    </w:p>
    <w:p w14:paraId="1D56008E" w14:textId="3374586F" w:rsidR="00302DD3" w:rsidRPr="00302DD3" w:rsidRDefault="00302DD3" w:rsidP="00302DD3">
      <w:pPr>
        <w:spacing w:after="0" w:line="480" w:lineRule="exact"/>
        <w:rPr>
          <w:rFonts w:ascii="標楷體" w:eastAsia="標楷體" w:hAnsi="標楷體"/>
          <w:b/>
          <w:bCs/>
          <w:sz w:val="32"/>
          <w:szCs w:val="32"/>
        </w:rPr>
      </w:pPr>
      <w:r>
        <w:rPr>
          <w:rFonts w:ascii="標楷體" w:eastAsia="標楷體" w:hAnsi="標楷體" w:hint="eastAsia"/>
          <w:b/>
          <w:bCs/>
          <w:sz w:val="32"/>
          <w:szCs w:val="32"/>
        </w:rPr>
        <w:t>五</w:t>
      </w:r>
      <w:r w:rsidRPr="00302DD3">
        <w:rPr>
          <w:rFonts w:ascii="標楷體" w:eastAsia="標楷體" w:hAnsi="標楷體"/>
          <w:b/>
          <w:bCs/>
          <w:sz w:val="32"/>
          <w:szCs w:val="32"/>
        </w:rPr>
        <w:t>、政策建議與制度優化方向</w:t>
      </w:r>
    </w:p>
    <w:p w14:paraId="07600EEC" w14:textId="72A3A26C" w:rsidR="00302DD3" w:rsidRDefault="00763E9C" w:rsidP="00763E9C">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302DD3" w:rsidRPr="00302DD3">
        <w:rPr>
          <w:rFonts w:ascii="標楷體" w:eastAsia="標楷體" w:hAnsi="標楷體"/>
          <w:sz w:val="32"/>
          <w:szCs w:val="32"/>
        </w:rPr>
        <w:t>建立完整性別分類與統計架構</w:t>
      </w:r>
    </w:p>
    <w:p w14:paraId="521856D2" w14:textId="256397A0" w:rsidR="002B2C81" w:rsidRPr="00302DD3" w:rsidRDefault="00362BD3" w:rsidP="002B2C81">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lastRenderedPageBreak/>
        <w:t xml:space="preserve">　　</w:t>
      </w:r>
      <w:r w:rsidRPr="00362BD3">
        <w:rPr>
          <w:rFonts w:ascii="標楷體" w:eastAsia="標楷體" w:hAnsi="標楷體"/>
          <w:sz w:val="32"/>
          <w:szCs w:val="32"/>
        </w:rPr>
        <w:t>目前國賠案件資料中，性別分類多侷限於二元性別（男／女），缺乏對性傾向、性別認同、性別特質等多元性別的紀錄，導致統計資料無法全面反映現況，也不利於政策擬定。為因應CEDAW及性別平等政策綱領精神，亟需建立更完整的性別分類架構，並將之制度化於國賠案件統計與報表中，透過標準化的欄位設計與交叉分析方法，掌握不同性別群體在受害、求償與審議過程中的實際處境，提升政策精</w:t>
      </w:r>
      <w:proofErr w:type="gramStart"/>
      <w:r w:rsidRPr="00362BD3">
        <w:rPr>
          <w:rFonts w:ascii="標楷體" w:eastAsia="標楷體" w:hAnsi="標楷體"/>
          <w:sz w:val="32"/>
          <w:szCs w:val="32"/>
        </w:rPr>
        <w:t>準</w:t>
      </w:r>
      <w:proofErr w:type="gramEnd"/>
      <w:r w:rsidRPr="00362BD3">
        <w:rPr>
          <w:rFonts w:ascii="標楷體" w:eastAsia="標楷體" w:hAnsi="標楷體"/>
          <w:sz w:val="32"/>
          <w:szCs w:val="32"/>
        </w:rPr>
        <w:t>度與行政透明度。</w:t>
      </w:r>
    </w:p>
    <w:p w14:paraId="0F60A8A6" w14:textId="0A229FFE" w:rsidR="00302DD3" w:rsidRDefault="00763E9C" w:rsidP="00763E9C">
      <w:pPr>
        <w:spacing w:after="0" w:line="480" w:lineRule="exact"/>
        <w:rPr>
          <w:rFonts w:ascii="標楷體" w:eastAsia="標楷體" w:hAnsi="標楷體"/>
          <w:sz w:val="32"/>
          <w:szCs w:val="32"/>
        </w:rPr>
      </w:pPr>
      <w:r>
        <w:rPr>
          <w:rFonts w:ascii="標楷體" w:eastAsia="標楷體" w:hAnsi="標楷體" w:hint="eastAsia"/>
          <w:sz w:val="32"/>
          <w:szCs w:val="32"/>
        </w:rPr>
        <w:t xml:space="preserve">　(二)</w:t>
      </w:r>
      <w:proofErr w:type="gramStart"/>
      <w:r w:rsidR="00302DD3" w:rsidRPr="00302DD3">
        <w:rPr>
          <w:rFonts w:ascii="標楷體" w:eastAsia="標楷體" w:hAnsi="標楷體"/>
          <w:sz w:val="32"/>
          <w:szCs w:val="32"/>
        </w:rPr>
        <w:t>研</w:t>
      </w:r>
      <w:proofErr w:type="gramEnd"/>
      <w:r w:rsidR="00885BD0">
        <w:rPr>
          <w:rFonts w:ascii="標楷體" w:eastAsia="標楷體" w:hAnsi="標楷體" w:hint="eastAsia"/>
          <w:sz w:val="32"/>
          <w:szCs w:val="32"/>
        </w:rPr>
        <w:t>擬</w:t>
      </w:r>
      <w:r w:rsidR="00885BD0" w:rsidRPr="00885BD0">
        <w:rPr>
          <w:rFonts w:ascii="標楷體" w:eastAsia="標楷體" w:hAnsi="標楷體"/>
          <w:sz w:val="32"/>
          <w:szCs w:val="32"/>
        </w:rPr>
        <w:t>性別平等訓練計畫</w:t>
      </w:r>
      <w:r w:rsidR="00302DD3" w:rsidRPr="00302DD3">
        <w:rPr>
          <w:rFonts w:ascii="標楷體" w:eastAsia="標楷體" w:hAnsi="標楷體"/>
          <w:sz w:val="32"/>
          <w:szCs w:val="32"/>
        </w:rPr>
        <w:t>與強化訓練制度</w:t>
      </w:r>
    </w:p>
    <w:p w14:paraId="018D4A89" w14:textId="3AD06191" w:rsidR="004D5546" w:rsidRPr="00302DD3" w:rsidRDefault="00213C65" w:rsidP="00884EFC">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Pr="00213C65">
        <w:rPr>
          <w:rFonts w:ascii="標楷體" w:eastAsia="標楷體" w:hAnsi="標楷體"/>
          <w:sz w:val="32"/>
          <w:szCs w:val="32"/>
        </w:rPr>
        <w:t>為提升相關從業人員辨識與應處性別暴力的能力，建議</w:t>
      </w:r>
      <w:r w:rsidR="00885BD0" w:rsidRPr="00885BD0">
        <w:rPr>
          <w:rFonts w:ascii="標楷體" w:eastAsia="標楷體" w:hAnsi="標楷體"/>
          <w:sz w:val="32"/>
          <w:szCs w:val="32"/>
        </w:rPr>
        <w:t>於政策規劃關注性別平等議題、服務提供時能落實尊重及維護不同性別、性傾向、性別認同民眾權益</w:t>
      </w:r>
      <w:r w:rsidR="00885BD0">
        <w:rPr>
          <w:rFonts w:ascii="標楷體" w:eastAsia="標楷體" w:hAnsi="標楷體" w:hint="eastAsia"/>
          <w:sz w:val="32"/>
          <w:szCs w:val="32"/>
        </w:rPr>
        <w:t>，並</w:t>
      </w:r>
      <w:proofErr w:type="gramStart"/>
      <w:r w:rsidR="00885BD0" w:rsidRPr="00302DD3">
        <w:rPr>
          <w:rFonts w:ascii="標楷體" w:eastAsia="標楷體" w:hAnsi="標楷體"/>
          <w:sz w:val="32"/>
          <w:szCs w:val="32"/>
        </w:rPr>
        <w:t>研</w:t>
      </w:r>
      <w:proofErr w:type="gramEnd"/>
      <w:r w:rsidR="00885BD0">
        <w:rPr>
          <w:rFonts w:ascii="標楷體" w:eastAsia="標楷體" w:hAnsi="標楷體" w:hint="eastAsia"/>
          <w:sz w:val="32"/>
          <w:szCs w:val="32"/>
        </w:rPr>
        <w:t>擬</w:t>
      </w:r>
      <w:r w:rsidR="00885BD0" w:rsidRPr="00885BD0">
        <w:rPr>
          <w:rFonts w:ascii="標楷體" w:eastAsia="標楷體" w:hAnsi="標楷體"/>
          <w:sz w:val="32"/>
          <w:szCs w:val="32"/>
        </w:rPr>
        <w:t>性別平等訓練計畫</w:t>
      </w:r>
      <w:r w:rsidRPr="00213C65">
        <w:rPr>
          <w:rFonts w:ascii="標楷體" w:eastAsia="標楷體" w:hAnsi="標楷體"/>
          <w:sz w:val="32"/>
          <w:szCs w:val="32"/>
        </w:rPr>
        <w:t>，內容應涵蓋性別暴力形式、多元性別處境、交叉歧視分析等，並定期辦理專業訓練與實例演練，使第一線人員能於接觸案件時展現適當態度與專業判斷，減少二次傷害並提升審議品質與公信力。</w:t>
      </w:r>
    </w:p>
    <w:p w14:paraId="0A32A78C" w14:textId="5F86507B" w:rsidR="00302DD3" w:rsidRPr="00302DD3" w:rsidRDefault="00763E9C" w:rsidP="00763E9C">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004E7738">
        <w:rPr>
          <w:rFonts w:ascii="標楷體" w:eastAsia="標楷體" w:hAnsi="標楷體" w:hint="eastAsia"/>
          <w:sz w:val="32"/>
          <w:szCs w:val="32"/>
        </w:rPr>
        <w:t>三</w:t>
      </w:r>
      <w:r>
        <w:rPr>
          <w:rFonts w:ascii="標楷體" w:eastAsia="標楷體" w:hAnsi="標楷體" w:hint="eastAsia"/>
          <w:sz w:val="32"/>
          <w:szCs w:val="32"/>
        </w:rPr>
        <w:t>)</w:t>
      </w:r>
      <w:r w:rsidR="00302DD3" w:rsidRPr="00302DD3">
        <w:rPr>
          <w:rFonts w:ascii="標楷體" w:eastAsia="標楷體" w:hAnsi="標楷體"/>
          <w:sz w:val="32"/>
          <w:szCs w:val="32"/>
        </w:rPr>
        <w:t>改進表單設計與行政資訊系統性別識別欄位</w:t>
      </w:r>
    </w:p>
    <w:p w14:paraId="2914CD94" w14:textId="6FB541BC" w:rsidR="00BE06AA" w:rsidRDefault="000E4034" w:rsidP="000E4034">
      <w:pPr>
        <w:spacing w:after="0" w:line="480" w:lineRule="exact"/>
        <w:ind w:leftChars="400" w:left="960"/>
        <w:rPr>
          <w:rFonts w:ascii="標楷體" w:eastAsia="標楷體" w:hAnsi="標楷體"/>
          <w:sz w:val="32"/>
          <w:szCs w:val="32"/>
        </w:rPr>
      </w:pPr>
      <w:r>
        <w:rPr>
          <w:rFonts w:ascii="標楷體" w:eastAsia="標楷體" w:hAnsi="標楷體" w:hint="eastAsia"/>
          <w:sz w:val="32"/>
          <w:szCs w:val="32"/>
        </w:rPr>
        <w:t xml:space="preserve">　　</w:t>
      </w:r>
      <w:r w:rsidRPr="000E4034">
        <w:rPr>
          <w:rFonts w:ascii="標楷體" w:eastAsia="標楷體" w:hAnsi="標楷體"/>
          <w:sz w:val="32"/>
          <w:szCs w:val="32"/>
        </w:rPr>
        <w:t>現行</w:t>
      </w:r>
      <w:r w:rsidR="001C4BA0">
        <w:rPr>
          <w:rFonts w:ascii="標楷體" w:eastAsia="標楷體" w:hAnsi="標楷體" w:hint="eastAsia"/>
          <w:sz w:val="32"/>
          <w:szCs w:val="32"/>
        </w:rPr>
        <w:t>申請</w:t>
      </w:r>
      <w:r w:rsidRPr="000E4034">
        <w:rPr>
          <w:rFonts w:ascii="標楷體" w:eastAsia="標楷體" w:hAnsi="標楷體"/>
          <w:sz w:val="32"/>
          <w:szCs w:val="32"/>
        </w:rPr>
        <w:t>國賠程序中，</w:t>
      </w:r>
      <w:r w:rsidR="00DB4926" w:rsidRPr="00BE06AA">
        <w:rPr>
          <w:rFonts w:ascii="標楷體" w:eastAsia="標楷體" w:hAnsi="標楷體"/>
          <w:sz w:val="32"/>
          <w:szCs w:val="32"/>
        </w:rPr>
        <w:t>國賠</w:t>
      </w:r>
      <w:r w:rsidR="00DB4926">
        <w:rPr>
          <w:rFonts w:ascii="標楷體" w:eastAsia="標楷體" w:hAnsi="標楷體" w:hint="eastAsia"/>
          <w:sz w:val="32"/>
          <w:szCs w:val="32"/>
        </w:rPr>
        <w:t>請求書</w:t>
      </w:r>
      <w:r w:rsidR="00413E28">
        <w:rPr>
          <w:rFonts w:ascii="標楷體" w:eastAsia="標楷體" w:hAnsi="標楷體" w:hint="eastAsia"/>
          <w:sz w:val="32"/>
          <w:szCs w:val="32"/>
        </w:rPr>
        <w:t>無性別或</w:t>
      </w:r>
      <w:r w:rsidR="00413E28" w:rsidRPr="00BE06AA">
        <w:rPr>
          <w:rFonts w:ascii="標楷體" w:eastAsia="標楷體" w:hAnsi="標楷體"/>
          <w:sz w:val="32"/>
          <w:szCs w:val="32"/>
        </w:rPr>
        <w:t>多元性別</w:t>
      </w:r>
      <w:r w:rsidR="00413E28">
        <w:rPr>
          <w:rFonts w:ascii="標楷體" w:eastAsia="標楷體" w:hAnsi="標楷體" w:hint="eastAsia"/>
          <w:sz w:val="32"/>
          <w:szCs w:val="32"/>
        </w:rPr>
        <w:t>欄位</w:t>
      </w:r>
      <w:r w:rsidRPr="000E4034">
        <w:rPr>
          <w:rFonts w:ascii="標楷體" w:eastAsia="標楷體" w:hAnsi="標楷體"/>
          <w:sz w:val="32"/>
          <w:szCs w:val="32"/>
        </w:rPr>
        <w:t>，限制了性別統計的完整性與行政回應的靈活性。建議重新檢視並修正表單設計，增設</w:t>
      </w:r>
      <w:r w:rsidR="00DB58FF">
        <w:rPr>
          <w:rFonts w:ascii="標楷體" w:eastAsia="標楷體" w:hAnsi="標楷體" w:hint="eastAsia"/>
          <w:sz w:val="32"/>
          <w:szCs w:val="32"/>
        </w:rPr>
        <w:t>可</w:t>
      </w:r>
      <w:r w:rsidRPr="000E4034">
        <w:rPr>
          <w:rFonts w:ascii="標楷體" w:eastAsia="標楷體" w:hAnsi="標楷體"/>
          <w:sz w:val="32"/>
          <w:szCs w:val="32"/>
        </w:rPr>
        <w:t>涵蓋男、女、非二元、跨性別、其他自訂等選項，並確保系統後端資料庫能對應儲存與調用。透過</w:t>
      </w:r>
      <w:r w:rsidR="002F4A0F">
        <w:rPr>
          <w:rFonts w:ascii="標楷體" w:eastAsia="標楷體" w:hAnsi="標楷體" w:hint="eastAsia"/>
          <w:sz w:val="32"/>
          <w:szCs w:val="32"/>
        </w:rPr>
        <w:t>多元</w:t>
      </w:r>
      <w:r w:rsidR="00AB67D6">
        <w:rPr>
          <w:rFonts w:ascii="標楷體" w:eastAsia="標楷體" w:hAnsi="標楷體" w:hint="eastAsia"/>
          <w:sz w:val="32"/>
          <w:szCs w:val="32"/>
        </w:rPr>
        <w:t>化</w:t>
      </w:r>
      <w:r w:rsidRPr="000E4034">
        <w:rPr>
          <w:rFonts w:ascii="標楷體" w:eastAsia="標楷體" w:hAnsi="標楷體"/>
          <w:sz w:val="32"/>
          <w:szCs w:val="32"/>
        </w:rPr>
        <w:t>性別識別欄位設計，不僅能提升行政效率，更可作為未來政策與資源分配依據，回應多元性別群體真實需求。</w:t>
      </w:r>
    </w:p>
    <w:p w14:paraId="71888572" w14:textId="23C4A0C2" w:rsidR="00DD3716" w:rsidRDefault="00DD3716" w:rsidP="00DD3716">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Pr="00DD3716">
        <w:rPr>
          <w:rFonts w:ascii="標楷體" w:eastAsia="標楷體" w:hAnsi="標楷體"/>
          <w:sz w:val="32"/>
          <w:szCs w:val="32"/>
        </w:rPr>
        <w:t>為提升性別暴力國賠案件的制度回應與政策品質，應</w:t>
      </w:r>
      <w:r w:rsidRPr="00DD3716">
        <w:rPr>
          <w:rFonts w:ascii="標楷體" w:eastAsia="標楷體" w:hAnsi="標楷體"/>
          <w:sz w:val="32"/>
          <w:szCs w:val="32"/>
        </w:rPr>
        <w:lastRenderedPageBreak/>
        <w:t>從制度面著手建立完整性別分類與統計架構，納入多元性別選項與交叉分析機制，補足現行資料紀錄不足之缺口。審議程序中亦須強化性別比例規範，並納入多元觀點專家參與，避免單一性別視角</w:t>
      </w:r>
      <w:proofErr w:type="gramStart"/>
      <w:r w:rsidRPr="00DD3716">
        <w:rPr>
          <w:rFonts w:ascii="標楷體" w:eastAsia="標楷體" w:hAnsi="標楷體"/>
          <w:sz w:val="32"/>
          <w:szCs w:val="32"/>
        </w:rPr>
        <w:t>造成偏誤</w:t>
      </w:r>
      <w:proofErr w:type="gramEnd"/>
      <w:r w:rsidRPr="00DD3716">
        <w:rPr>
          <w:rFonts w:ascii="標楷體" w:eastAsia="標楷體" w:hAnsi="標楷體"/>
          <w:sz w:val="32"/>
          <w:szCs w:val="32"/>
        </w:rPr>
        <w:t>。</w:t>
      </w:r>
      <w:proofErr w:type="gramStart"/>
      <w:r w:rsidRPr="00DD3716">
        <w:rPr>
          <w:rFonts w:ascii="標楷體" w:eastAsia="標楷體" w:hAnsi="標楷體"/>
          <w:sz w:val="32"/>
          <w:szCs w:val="32"/>
        </w:rPr>
        <w:t>此外，</w:t>
      </w:r>
      <w:r w:rsidR="001D0AAC">
        <w:rPr>
          <w:rFonts w:ascii="標楷體" w:eastAsia="標楷體" w:hAnsi="標楷體" w:hint="eastAsia"/>
          <w:sz w:val="32"/>
          <w:szCs w:val="32"/>
        </w:rPr>
        <w:t>建議</w:t>
      </w:r>
      <w:r w:rsidR="001D0AAC" w:rsidRPr="00302DD3">
        <w:rPr>
          <w:rFonts w:ascii="標楷體" w:eastAsia="標楷體" w:hAnsi="標楷體"/>
          <w:sz w:val="32"/>
          <w:szCs w:val="32"/>
        </w:rPr>
        <w:t>研</w:t>
      </w:r>
      <w:proofErr w:type="gramEnd"/>
      <w:r w:rsidR="001D0AAC">
        <w:rPr>
          <w:rFonts w:ascii="標楷體" w:eastAsia="標楷體" w:hAnsi="標楷體" w:hint="eastAsia"/>
          <w:sz w:val="32"/>
          <w:szCs w:val="32"/>
        </w:rPr>
        <w:t>擬</w:t>
      </w:r>
      <w:r w:rsidR="001D0AAC" w:rsidRPr="00885BD0">
        <w:rPr>
          <w:rFonts w:ascii="標楷體" w:eastAsia="標楷體" w:hAnsi="標楷體"/>
          <w:sz w:val="32"/>
          <w:szCs w:val="32"/>
        </w:rPr>
        <w:t>性別平等訓練計畫</w:t>
      </w:r>
      <w:r w:rsidR="001D0AAC" w:rsidRPr="00302DD3">
        <w:rPr>
          <w:rFonts w:ascii="標楷體" w:eastAsia="標楷體" w:hAnsi="標楷體"/>
          <w:sz w:val="32"/>
          <w:szCs w:val="32"/>
        </w:rPr>
        <w:t>與強化訓練制度</w:t>
      </w:r>
      <w:r w:rsidRPr="00DD3716">
        <w:rPr>
          <w:rFonts w:ascii="標楷體" w:eastAsia="標楷體" w:hAnsi="標楷體"/>
          <w:sz w:val="32"/>
          <w:szCs w:val="32"/>
        </w:rPr>
        <w:t>，結合案例訓練制度化，提升從業人員辨識與應處能力。最後，透過優化表單設計與資訊系統性別識別欄位，確保資料蒐集與政策設計兼顧多元性別需求。</w:t>
      </w:r>
    </w:p>
    <w:p w14:paraId="7904A153" w14:textId="764B07DB" w:rsidR="001E091E" w:rsidRPr="001E091E" w:rsidRDefault="001E091E" w:rsidP="001E091E">
      <w:pPr>
        <w:spacing w:after="0" w:line="480" w:lineRule="exact"/>
        <w:rPr>
          <w:rFonts w:ascii="標楷體" w:eastAsia="標楷體" w:hAnsi="標楷體"/>
          <w:b/>
          <w:bCs/>
          <w:sz w:val="32"/>
          <w:szCs w:val="32"/>
        </w:rPr>
      </w:pPr>
      <w:r>
        <w:rPr>
          <w:rFonts w:ascii="標楷體" w:eastAsia="標楷體" w:hAnsi="標楷體" w:hint="eastAsia"/>
          <w:b/>
          <w:bCs/>
          <w:sz w:val="32"/>
          <w:szCs w:val="32"/>
        </w:rPr>
        <w:t>六</w:t>
      </w:r>
      <w:r w:rsidRPr="001E091E">
        <w:rPr>
          <w:rFonts w:ascii="標楷體" w:eastAsia="標楷體" w:hAnsi="標楷體"/>
          <w:b/>
          <w:bCs/>
          <w:sz w:val="32"/>
          <w:szCs w:val="32"/>
        </w:rPr>
        <w:t>、結論</w:t>
      </w:r>
      <w:r w:rsidR="00AB1C21">
        <w:rPr>
          <w:rFonts w:ascii="標楷體" w:eastAsia="標楷體" w:hAnsi="標楷體" w:hint="eastAsia"/>
          <w:b/>
          <w:bCs/>
          <w:sz w:val="32"/>
          <w:szCs w:val="32"/>
        </w:rPr>
        <w:t>及建議</w:t>
      </w:r>
    </w:p>
    <w:p w14:paraId="0997904C" w14:textId="2163C7DB" w:rsidR="003440EA" w:rsidRPr="003440EA" w:rsidRDefault="003440EA" w:rsidP="0020750E">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Pr="003440EA">
        <w:rPr>
          <w:rFonts w:ascii="標楷體" w:eastAsia="標楷體" w:hAnsi="標楷體"/>
          <w:sz w:val="32"/>
          <w:szCs w:val="32"/>
        </w:rPr>
        <w:t>本研究針對109年至113年間本府所受理之性別暴力相關國家賠償案件進行分析，從案件數量、當事人性別與年齡、場域分布、程序結果等面向探討制度現況與性別不平等問題，揭示出我國在性別暴力事件</w:t>
      </w:r>
      <w:r w:rsidR="00CF4D00" w:rsidRPr="003440EA">
        <w:rPr>
          <w:rFonts w:ascii="標楷體" w:eastAsia="標楷體" w:hAnsi="標楷體"/>
          <w:sz w:val="32"/>
          <w:szCs w:val="32"/>
        </w:rPr>
        <w:t>應對</w:t>
      </w:r>
      <w:r w:rsidRPr="003440EA">
        <w:rPr>
          <w:rFonts w:ascii="標楷體" w:eastAsia="標楷體" w:hAnsi="標楷體"/>
          <w:sz w:val="32"/>
          <w:szCs w:val="32"/>
        </w:rPr>
        <w:t>與賠償制度中，仍存在諸多結構性困境與資料紀錄上的盲點。</w:t>
      </w:r>
    </w:p>
    <w:p w14:paraId="16877446" w14:textId="5E23EF5E" w:rsidR="003440EA" w:rsidRPr="003440EA" w:rsidRDefault="0020750E" w:rsidP="0020750E">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003440EA" w:rsidRPr="003440EA">
        <w:rPr>
          <w:rFonts w:ascii="標楷體" w:eastAsia="標楷體" w:hAnsi="標楷體"/>
          <w:sz w:val="32"/>
          <w:szCs w:val="32"/>
        </w:rPr>
        <w:t>首先，性別暴力國賠案件雖僅</w:t>
      </w:r>
      <w:proofErr w:type="gramStart"/>
      <w:r w:rsidR="003440EA" w:rsidRPr="003440EA">
        <w:rPr>
          <w:rFonts w:ascii="標楷體" w:eastAsia="標楷體" w:hAnsi="標楷體"/>
          <w:sz w:val="32"/>
          <w:szCs w:val="32"/>
        </w:rPr>
        <w:t>佔</w:t>
      </w:r>
      <w:proofErr w:type="gramEnd"/>
      <w:r w:rsidR="003440EA" w:rsidRPr="003440EA">
        <w:rPr>
          <w:rFonts w:ascii="標楷體" w:eastAsia="標楷體" w:hAnsi="標楷體"/>
          <w:sz w:val="32"/>
          <w:szCs w:val="32"/>
        </w:rPr>
        <w:t>國賠總數</w:t>
      </w:r>
      <w:r w:rsidR="009516FE">
        <w:rPr>
          <w:rFonts w:ascii="標楷體" w:eastAsia="標楷體" w:hAnsi="標楷體" w:hint="eastAsia"/>
          <w:sz w:val="32"/>
          <w:szCs w:val="32"/>
        </w:rPr>
        <w:t>之</w:t>
      </w:r>
      <w:r w:rsidR="003440EA" w:rsidRPr="003440EA">
        <w:rPr>
          <w:rFonts w:ascii="標楷體" w:eastAsia="標楷體" w:hAnsi="標楷體"/>
          <w:sz w:val="32"/>
          <w:szCs w:val="32"/>
        </w:rPr>
        <w:t>1.02%，但其中70%發生於校園場域，顯示教育現場為性別暴力高風險區域。受害者年齡多為14歲以下兒童，其中男性被害人比例甚至高於女性，這與社會普遍對性別暴力受害者印象不符，也反映出男童在校園中可能因性別刻板印象與權力不對等關係，面臨</w:t>
      </w:r>
      <w:proofErr w:type="gramStart"/>
      <w:r w:rsidR="003440EA" w:rsidRPr="003440EA">
        <w:rPr>
          <w:rFonts w:ascii="標楷體" w:eastAsia="標楷體" w:hAnsi="標楷體"/>
          <w:sz w:val="32"/>
          <w:szCs w:val="32"/>
        </w:rPr>
        <w:t>更隱微且</w:t>
      </w:r>
      <w:proofErr w:type="gramEnd"/>
      <w:r w:rsidR="003440EA" w:rsidRPr="003440EA">
        <w:rPr>
          <w:rFonts w:ascii="標楷體" w:eastAsia="標楷體" w:hAnsi="標楷體"/>
          <w:sz w:val="32"/>
          <w:szCs w:val="32"/>
        </w:rPr>
        <w:t>難以察覺的受害風險。然而，通報案件與實際提起國賠的比率極低（僅約0.077%），顯示多數受害者無法或不願進入國家賠償程序。</w:t>
      </w:r>
    </w:p>
    <w:p w14:paraId="251287E8" w14:textId="3213800A" w:rsidR="003440EA" w:rsidRPr="003440EA" w:rsidRDefault="0020750E" w:rsidP="0020750E">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proofErr w:type="gramStart"/>
      <w:r w:rsidR="003440EA" w:rsidRPr="006072A5">
        <w:rPr>
          <w:rFonts w:ascii="標楷體" w:eastAsia="標楷體" w:hAnsi="標楷體"/>
          <w:sz w:val="32"/>
          <w:szCs w:val="32"/>
        </w:rPr>
        <w:t>再者，</w:t>
      </w:r>
      <w:proofErr w:type="gramEnd"/>
      <w:r w:rsidR="003440EA" w:rsidRPr="006072A5">
        <w:rPr>
          <w:rFonts w:ascii="標楷體" w:eastAsia="標楷體" w:hAnsi="標楷體"/>
          <w:sz w:val="32"/>
          <w:szCs w:val="32"/>
        </w:rPr>
        <w:t>資料顯示</w:t>
      </w:r>
      <w:r w:rsidR="00AD0D57">
        <w:rPr>
          <w:rFonts w:ascii="標楷體" w:eastAsia="標楷體" w:hAnsi="標楷體"/>
          <w:sz w:val="32"/>
          <w:szCs w:val="32"/>
        </w:rPr>
        <w:t>請求權人</w:t>
      </w:r>
      <w:r w:rsidR="003440EA" w:rsidRPr="006072A5">
        <w:rPr>
          <w:rFonts w:ascii="標楷體" w:eastAsia="標楷體" w:hAnsi="標楷體"/>
          <w:sz w:val="32"/>
          <w:szCs w:val="32"/>
        </w:rPr>
        <w:t>多為男性，反映出男性更傾向以</w:t>
      </w:r>
      <w:proofErr w:type="gramStart"/>
      <w:r w:rsidR="003440EA" w:rsidRPr="006072A5">
        <w:rPr>
          <w:rFonts w:ascii="標楷體" w:eastAsia="標楷體" w:hAnsi="標楷體"/>
          <w:sz w:val="32"/>
          <w:szCs w:val="32"/>
        </w:rPr>
        <w:t>法律維權</w:t>
      </w:r>
      <w:proofErr w:type="gramEnd"/>
      <w:r w:rsidR="003440EA" w:rsidRPr="006072A5">
        <w:rPr>
          <w:rFonts w:ascii="標楷體" w:eastAsia="標楷體" w:hAnsi="標楷體"/>
          <w:sz w:val="32"/>
          <w:szCs w:val="32"/>
        </w:rPr>
        <w:t>；而女性可能因社會污名與害怕二次傷害，選擇不提國賠請求。</w:t>
      </w:r>
      <w:proofErr w:type="gramStart"/>
      <w:r w:rsidR="003440EA" w:rsidRPr="006072A5">
        <w:rPr>
          <w:rFonts w:ascii="標楷體" w:eastAsia="標楷體" w:hAnsi="標楷體"/>
          <w:sz w:val="32"/>
          <w:szCs w:val="32"/>
        </w:rPr>
        <w:t>此外，</w:t>
      </w:r>
      <w:proofErr w:type="gramEnd"/>
      <w:r w:rsidR="003440EA" w:rsidRPr="006072A5">
        <w:rPr>
          <w:rFonts w:ascii="標楷體" w:eastAsia="標楷體" w:hAnsi="標楷體"/>
          <w:sz w:val="32"/>
          <w:szCs w:val="32"/>
        </w:rPr>
        <w:t>案件結果方面，</w:t>
      </w:r>
      <w:r w:rsidR="00B23064" w:rsidRPr="006072A5">
        <w:rPr>
          <w:rFonts w:ascii="標楷體" w:eastAsia="標楷體" w:hAnsi="標楷體"/>
          <w:sz w:val="32"/>
          <w:szCs w:val="32"/>
        </w:rPr>
        <w:t>拒絕賠償比例高達六成，反映出目前制度在證據審查與程序認定上對被害人</w:t>
      </w:r>
      <w:r w:rsidR="0023098B">
        <w:rPr>
          <w:rFonts w:ascii="標楷體" w:eastAsia="標楷體" w:hAnsi="標楷體" w:hint="eastAsia"/>
          <w:sz w:val="32"/>
          <w:szCs w:val="32"/>
        </w:rPr>
        <w:t>可能</w:t>
      </w:r>
      <w:proofErr w:type="gramStart"/>
      <w:r w:rsidR="00B23064" w:rsidRPr="006072A5">
        <w:rPr>
          <w:rFonts w:ascii="標楷體" w:eastAsia="標楷體" w:hAnsi="標楷體"/>
          <w:sz w:val="32"/>
          <w:szCs w:val="32"/>
        </w:rPr>
        <w:t>不</w:t>
      </w:r>
      <w:proofErr w:type="gramEnd"/>
      <w:r w:rsidR="00B23064" w:rsidRPr="006072A5">
        <w:rPr>
          <w:rFonts w:ascii="標楷體" w:eastAsia="標楷體" w:hAnsi="標楷體"/>
          <w:sz w:val="32"/>
          <w:szCs w:val="32"/>
        </w:rPr>
        <w:t>友善，亦顯示性別敏感度</w:t>
      </w:r>
      <w:r w:rsidR="00466B96">
        <w:rPr>
          <w:rFonts w:ascii="標楷體" w:eastAsia="標楷體" w:hAnsi="標楷體" w:hint="eastAsia"/>
          <w:sz w:val="32"/>
          <w:szCs w:val="32"/>
        </w:rPr>
        <w:t>似</w:t>
      </w:r>
      <w:r w:rsidR="00B23064" w:rsidRPr="006072A5">
        <w:rPr>
          <w:rFonts w:ascii="標楷體" w:eastAsia="標楷體" w:hAnsi="標楷體"/>
          <w:sz w:val="32"/>
          <w:szCs w:val="32"/>
        </w:rPr>
        <w:t>有不足。</w:t>
      </w:r>
      <w:r w:rsidR="00D27FDC">
        <w:rPr>
          <w:rFonts w:ascii="標楷體" w:eastAsia="標楷體" w:hAnsi="標楷體" w:hint="eastAsia"/>
          <w:sz w:val="32"/>
          <w:szCs w:val="32"/>
        </w:rPr>
        <w:t>而</w:t>
      </w:r>
      <w:r w:rsidR="00B23064" w:rsidRPr="006072A5">
        <w:rPr>
          <w:rFonts w:ascii="標楷體" w:eastAsia="標楷體" w:hAnsi="標楷體"/>
          <w:sz w:val="32"/>
          <w:szCs w:val="32"/>
        </w:rPr>
        <w:t>協議未成立與</w:t>
      </w:r>
      <w:proofErr w:type="gramStart"/>
      <w:r w:rsidR="00773C21">
        <w:rPr>
          <w:rFonts w:ascii="標楷體" w:eastAsia="標楷體" w:hAnsi="標楷體" w:hint="eastAsia"/>
          <w:sz w:val="32"/>
          <w:szCs w:val="32"/>
        </w:rPr>
        <w:t>逕</w:t>
      </w:r>
      <w:proofErr w:type="gramEnd"/>
      <w:r w:rsidR="00773C21">
        <w:rPr>
          <w:rFonts w:ascii="標楷體" w:eastAsia="標楷體" w:hAnsi="標楷體" w:hint="eastAsia"/>
          <w:sz w:val="32"/>
          <w:szCs w:val="32"/>
        </w:rPr>
        <w:t>提</w:t>
      </w:r>
      <w:r w:rsidR="00B23064" w:rsidRPr="006072A5">
        <w:rPr>
          <w:rFonts w:ascii="標楷體" w:eastAsia="標楷體" w:hAnsi="標楷體"/>
          <w:sz w:val="32"/>
          <w:szCs w:val="32"/>
        </w:rPr>
        <w:t>訴訟的案件合計占四成，顯示</w:t>
      </w:r>
      <w:r w:rsidR="00773C21">
        <w:rPr>
          <w:rFonts w:ascii="標楷體" w:eastAsia="標楷體" w:hAnsi="標楷體" w:hint="eastAsia"/>
          <w:sz w:val="32"/>
          <w:szCs w:val="32"/>
        </w:rPr>
        <w:t>請求權</w:t>
      </w:r>
      <w:r w:rsidR="00B23064" w:rsidRPr="006072A5">
        <w:rPr>
          <w:rFonts w:ascii="標楷體" w:eastAsia="標楷體" w:hAnsi="標楷體"/>
          <w:sz w:val="32"/>
          <w:szCs w:val="32"/>
        </w:rPr>
        <w:t>人</w:t>
      </w:r>
      <w:r w:rsidR="00B50B0F">
        <w:rPr>
          <w:rFonts w:ascii="標楷體" w:eastAsia="標楷體" w:hAnsi="標楷體" w:hint="eastAsia"/>
          <w:sz w:val="32"/>
          <w:szCs w:val="32"/>
        </w:rPr>
        <w:t>深知如</w:t>
      </w:r>
      <w:r w:rsidR="00B23064" w:rsidRPr="006072A5">
        <w:rPr>
          <w:rFonts w:ascii="標楷體" w:eastAsia="標楷體" w:hAnsi="標楷體"/>
          <w:sz w:val="32"/>
          <w:szCs w:val="32"/>
        </w:rPr>
        <w:lastRenderedPageBreak/>
        <w:t>對</w:t>
      </w:r>
      <w:proofErr w:type="gramStart"/>
      <w:r w:rsidR="00B23064" w:rsidRPr="006072A5">
        <w:rPr>
          <w:rFonts w:ascii="標楷體" w:eastAsia="標楷體" w:hAnsi="標楷體"/>
          <w:sz w:val="32"/>
          <w:szCs w:val="32"/>
        </w:rPr>
        <w:t>國賠會審議</w:t>
      </w:r>
      <w:proofErr w:type="gramEnd"/>
      <w:r w:rsidR="00B23064" w:rsidRPr="006072A5">
        <w:rPr>
          <w:rFonts w:ascii="標楷體" w:eastAsia="標楷體" w:hAnsi="標楷體"/>
          <w:sz w:val="32"/>
          <w:szCs w:val="32"/>
        </w:rPr>
        <w:t>結果</w:t>
      </w:r>
      <w:r w:rsidR="00F05CB7">
        <w:rPr>
          <w:rFonts w:ascii="標楷體" w:eastAsia="標楷體" w:hAnsi="標楷體" w:hint="eastAsia"/>
          <w:sz w:val="32"/>
          <w:szCs w:val="32"/>
        </w:rPr>
        <w:t>仍</w:t>
      </w:r>
      <w:r w:rsidR="00B23064" w:rsidRPr="006072A5">
        <w:rPr>
          <w:rFonts w:ascii="標楷體" w:eastAsia="標楷體" w:hAnsi="標楷體"/>
          <w:sz w:val="32"/>
          <w:szCs w:val="32"/>
        </w:rPr>
        <w:t>有疑義，</w:t>
      </w:r>
      <w:r w:rsidR="00176BD0">
        <w:rPr>
          <w:rFonts w:ascii="標楷體" w:eastAsia="標楷體" w:hAnsi="標楷體" w:hint="eastAsia"/>
          <w:sz w:val="32"/>
          <w:szCs w:val="32"/>
        </w:rPr>
        <w:t>亦可透過司法程序</w:t>
      </w:r>
      <w:r w:rsidR="005A3DAB">
        <w:rPr>
          <w:rFonts w:ascii="標楷體" w:eastAsia="標楷體" w:hAnsi="標楷體" w:hint="eastAsia"/>
          <w:sz w:val="32"/>
          <w:szCs w:val="32"/>
        </w:rPr>
        <w:t>以保障自身權益</w:t>
      </w:r>
      <w:r w:rsidR="00B23064" w:rsidRPr="006072A5">
        <w:rPr>
          <w:rFonts w:ascii="標楷體" w:eastAsia="標楷體" w:hAnsi="標楷體"/>
          <w:sz w:val="32"/>
          <w:szCs w:val="32"/>
        </w:rPr>
        <w:t>。</w:t>
      </w:r>
      <w:r w:rsidR="003440EA" w:rsidRPr="003440EA">
        <w:rPr>
          <w:rFonts w:ascii="標楷體" w:eastAsia="標楷體" w:hAnsi="標楷體"/>
          <w:sz w:val="32"/>
          <w:szCs w:val="32"/>
        </w:rPr>
        <w:t>制度困境亦包括</w:t>
      </w:r>
      <w:r w:rsidR="00CB6B57">
        <w:rPr>
          <w:rFonts w:ascii="標楷體" w:eastAsia="標楷體" w:hAnsi="標楷體" w:hint="eastAsia"/>
          <w:sz w:val="32"/>
          <w:szCs w:val="32"/>
        </w:rPr>
        <w:t>國賠請求書</w:t>
      </w:r>
      <w:r w:rsidR="00787F92">
        <w:rPr>
          <w:rFonts w:ascii="標楷體" w:eastAsia="標楷體" w:hAnsi="標楷體" w:hint="eastAsia"/>
          <w:sz w:val="32"/>
          <w:szCs w:val="32"/>
        </w:rPr>
        <w:t>無</w:t>
      </w:r>
      <w:r w:rsidR="003D40C5">
        <w:rPr>
          <w:rFonts w:ascii="標楷體" w:eastAsia="標楷體" w:hAnsi="標楷體" w:hint="eastAsia"/>
          <w:sz w:val="32"/>
          <w:szCs w:val="32"/>
        </w:rPr>
        <w:t>設置</w:t>
      </w:r>
      <w:r w:rsidR="00787F92">
        <w:rPr>
          <w:rFonts w:ascii="標楷體" w:eastAsia="標楷體" w:hAnsi="標楷體" w:hint="eastAsia"/>
          <w:sz w:val="32"/>
          <w:szCs w:val="32"/>
        </w:rPr>
        <w:t>性別欄位</w:t>
      </w:r>
      <w:r w:rsidR="003440EA" w:rsidRPr="003440EA">
        <w:rPr>
          <w:rFonts w:ascii="標楷體" w:eastAsia="標楷體" w:hAnsi="標楷體"/>
          <w:sz w:val="32"/>
          <w:szCs w:val="32"/>
        </w:rPr>
        <w:t>，致使統計分析與政策設計難以精確定位需求。</w:t>
      </w:r>
    </w:p>
    <w:p w14:paraId="52F492B7" w14:textId="25B51289" w:rsidR="003440EA" w:rsidRPr="003440EA" w:rsidRDefault="0020750E" w:rsidP="0020750E">
      <w:pPr>
        <w:spacing w:after="0" w:line="480" w:lineRule="exact"/>
        <w:rPr>
          <w:rFonts w:ascii="標楷體" w:eastAsia="標楷體" w:hAnsi="標楷體"/>
          <w:sz w:val="32"/>
          <w:szCs w:val="32"/>
        </w:rPr>
      </w:pPr>
      <w:r>
        <w:rPr>
          <w:rFonts w:ascii="標楷體" w:eastAsia="標楷體" w:hAnsi="標楷體" w:hint="eastAsia"/>
          <w:sz w:val="32"/>
          <w:szCs w:val="32"/>
        </w:rPr>
        <w:t xml:space="preserve">　　</w:t>
      </w:r>
      <w:r w:rsidR="003440EA" w:rsidRPr="003440EA">
        <w:rPr>
          <w:rFonts w:ascii="標楷體" w:eastAsia="標楷體" w:hAnsi="標楷體"/>
          <w:sz w:val="32"/>
          <w:szCs w:val="32"/>
        </w:rPr>
        <w:t>為改善上述問題，建議應儘速建立完整性別分類與統計架構，修正</w:t>
      </w:r>
      <w:r w:rsidR="00766DE3">
        <w:rPr>
          <w:rFonts w:ascii="標楷體" w:eastAsia="標楷體" w:hAnsi="標楷體" w:hint="eastAsia"/>
          <w:sz w:val="32"/>
          <w:szCs w:val="32"/>
        </w:rPr>
        <w:t>國賠請求書</w:t>
      </w:r>
      <w:r w:rsidR="003440EA" w:rsidRPr="003440EA">
        <w:rPr>
          <w:rFonts w:ascii="標楷體" w:eastAsia="標楷體" w:hAnsi="標楷體"/>
          <w:sz w:val="32"/>
          <w:szCs w:val="32"/>
        </w:rPr>
        <w:t>表單設計，使性別資料更具多元性與可用性</w:t>
      </w:r>
      <w:r w:rsidR="001E321C">
        <w:rPr>
          <w:rFonts w:ascii="標楷體" w:eastAsia="標楷體" w:hAnsi="標楷體" w:hint="eastAsia"/>
          <w:sz w:val="32"/>
          <w:szCs w:val="32"/>
        </w:rPr>
        <w:t>；另外，</w:t>
      </w:r>
      <w:r w:rsidR="003440EA" w:rsidRPr="003440EA">
        <w:rPr>
          <w:rFonts w:ascii="標楷體" w:eastAsia="標楷體" w:hAnsi="標楷體"/>
          <w:sz w:val="32"/>
          <w:szCs w:val="32"/>
        </w:rPr>
        <w:t>亦</w:t>
      </w:r>
      <w:r w:rsidR="00987266">
        <w:rPr>
          <w:rFonts w:ascii="標楷體" w:eastAsia="標楷體" w:hAnsi="標楷體" w:hint="eastAsia"/>
          <w:sz w:val="32"/>
          <w:szCs w:val="32"/>
        </w:rPr>
        <w:t>建議</w:t>
      </w:r>
      <w:r w:rsidR="003440EA" w:rsidRPr="003440EA">
        <w:rPr>
          <w:rFonts w:ascii="標楷體" w:eastAsia="標楷體" w:hAnsi="標楷體"/>
          <w:sz w:val="32"/>
          <w:szCs w:val="32"/>
        </w:rPr>
        <w:t>推動</w:t>
      </w:r>
      <w:proofErr w:type="gramStart"/>
      <w:r w:rsidR="00E61732" w:rsidRPr="00302DD3">
        <w:rPr>
          <w:rFonts w:ascii="標楷體" w:eastAsia="標楷體" w:hAnsi="標楷體"/>
          <w:sz w:val="32"/>
          <w:szCs w:val="32"/>
        </w:rPr>
        <w:t>研</w:t>
      </w:r>
      <w:proofErr w:type="gramEnd"/>
      <w:r w:rsidR="00E61732">
        <w:rPr>
          <w:rFonts w:ascii="標楷體" w:eastAsia="標楷體" w:hAnsi="標楷體" w:hint="eastAsia"/>
          <w:sz w:val="32"/>
          <w:szCs w:val="32"/>
        </w:rPr>
        <w:t>擬</w:t>
      </w:r>
      <w:r w:rsidR="00E61732" w:rsidRPr="00885BD0">
        <w:rPr>
          <w:rFonts w:ascii="標楷體" w:eastAsia="標楷體" w:hAnsi="標楷體"/>
          <w:sz w:val="32"/>
          <w:szCs w:val="32"/>
        </w:rPr>
        <w:t>性別平等訓練計畫</w:t>
      </w:r>
      <w:r w:rsidR="00E61732" w:rsidRPr="00302DD3">
        <w:rPr>
          <w:rFonts w:ascii="標楷體" w:eastAsia="標楷體" w:hAnsi="標楷體"/>
          <w:sz w:val="32"/>
          <w:szCs w:val="32"/>
        </w:rPr>
        <w:t>與強化訓練制度</w:t>
      </w:r>
      <w:r w:rsidR="003440EA" w:rsidRPr="003440EA">
        <w:rPr>
          <w:rFonts w:ascii="標楷體" w:eastAsia="標楷體" w:hAnsi="標楷體"/>
          <w:sz w:val="32"/>
          <w:szCs w:val="32"/>
        </w:rPr>
        <w:t>，落實對公務人員與決策者之持續訓練，以提升制度整體的性別正義意識。最後，</w:t>
      </w:r>
      <w:r w:rsidR="00D0221E">
        <w:rPr>
          <w:rFonts w:ascii="標楷體" w:eastAsia="標楷體" w:hAnsi="標楷體" w:hint="eastAsia"/>
          <w:sz w:val="32"/>
          <w:szCs w:val="32"/>
        </w:rPr>
        <w:t>建議</w:t>
      </w:r>
      <w:r w:rsidR="003440EA" w:rsidRPr="003440EA">
        <w:rPr>
          <w:rFonts w:ascii="標楷體" w:eastAsia="標楷體" w:hAnsi="標楷體"/>
          <w:sz w:val="32"/>
          <w:szCs w:val="32"/>
        </w:rPr>
        <w:t>建立跨部門的資料交換與</w:t>
      </w:r>
      <w:r w:rsidR="00A50691">
        <w:rPr>
          <w:rFonts w:ascii="標楷體" w:eastAsia="標楷體" w:hAnsi="標楷體" w:hint="eastAsia"/>
          <w:sz w:val="32"/>
          <w:szCs w:val="32"/>
        </w:rPr>
        <w:t>統整</w:t>
      </w:r>
      <w:r w:rsidR="003440EA" w:rsidRPr="003440EA">
        <w:rPr>
          <w:rFonts w:ascii="標楷體" w:eastAsia="標楷體" w:hAnsi="標楷體"/>
          <w:sz w:val="32"/>
          <w:szCs w:val="32"/>
        </w:rPr>
        <w:t>機制，使性別暴力案件之通報、處理與賠償環節能夠串接，打造一套以資料為本、性別平等為核心的回應系統。</w:t>
      </w:r>
    </w:p>
    <w:p w14:paraId="53E797BF" w14:textId="68BFA388" w:rsidR="00FF14F1" w:rsidRDefault="00E61CBA" w:rsidP="00802A10">
      <w:pPr>
        <w:widowControl/>
        <w:rPr>
          <w:rFonts w:ascii="標楷體" w:eastAsia="標楷體" w:hAnsi="標楷體"/>
          <w:b/>
          <w:bCs/>
          <w:sz w:val="32"/>
          <w:szCs w:val="32"/>
        </w:rPr>
      </w:pPr>
      <w:r>
        <w:rPr>
          <w:rFonts w:ascii="標楷體" w:eastAsia="標楷體" w:hAnsi="標楷體"/>
          <w:sz w:val="32"/>
          <w:szCs w:val="32"/>
        </w:rPr>
        <w:br w:type="page"/>
      </w:r>
      <w:r w:rsidR="00FF14F1">
        <w:rPr>
          <w:rFonts w:ascii="標楷體" w:eastAsia="標楷體" w:hAnsi="標楷體" w:hint="eastAsia"/>
          <w:b/>
          <w:bCs/>
          <w:sz w:val="32"/>
          <w:szCs w:val="32"/>
        </w:rPr>
        <w:lastRenderedPageBreak/>
        <w:t>七</w:t>
      </w:r>
      <w:r w:rsidR="00FF14F1" w:rsidRPr="001E091E">
        <w:rPr>
          <w:rFonts w:ascii="標楷體" w:eastAsia="標楷體" w:hAnsi="標楷體"/>
          <w:b/>
          <w:bCs/>
          <w:sz w:val="32"/>
          <w:szCs w:val="32"/>
        </w:rPr>
        <w:t>、</w:t>
      </w:r>
      <w:r w:rsidR="00FF14F1">
        <w:rPr>
          <w:rFonts w:ascii="標楷體" w:eastAsia="標楷體" w:hAnsi="標楷體" w:hint="eastAsia"/>
          <w:b/>
          <w:bCs/>
          <w:sz w:val="32"/>
          <w:szCs w:val="32"/>
        </w:rPr>
        <w:t>參考資料</w:t>
      </w:r>
    </w:p>
    <w:p w14:paraId="17249A03" w14:textId="15CF4AAA" w:rsidR="00272167" w:rsidRDefault="00272167" w:rsidP="00272167">
      <w:pPr>
        <w:spacing w:line="56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 xml:space="preserve">  (</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Pr="00B418B8">
        <w:rPr>
          <w:rFonts w:ascii="標楷體" w:eastAsia="標楷體" w:hAnsi="標楷體"/>
          <w:sz w:val="32"/>
          <w:szCs w:val="32"/>
        </w:rPr>
        <w:t>資料來源：</w:t>
      </w:r>
    </w:p>
    <w:p w14:paraId="723512DE" w14:textId="38275169" w:rsidR="00272167" w:rsidRDefault="00272167" w:rsidP="0092542C">
      <w:pPr>
        <w:pStyle w:val="a9"/>
        <w:numPr>
          <w:ilvl w:val="0"/>
          <w:numId w:val="7"/>
        </w:numPr>
        <w:spacing w:line="560" w:lineRule="exact"/>
        <w:jc w:val="both"/>
        <w:rPr>
          <w:rFonts w:ascii="標楷體" w:eastAsia="標楷體" w:hAnsi="標楷體"/>
          <w:sz w:val="32"/>
          <w:szCs w:val="32"/>
        </w:rPr>
      </w:pPr>
      <w:r w:rsidRPr="0092542C">
        <w:rPr>
          <w:rFonts w:ascii="標楷體" w:eastAsia="標楷體" w:hAnsi="標楷體" w:hint="eastAsia"/>
          <w:sz w:val="32"/>
          <w:szCs w:val="32"/>
        </w:rPr>
        <w:t>高雄市政府國家賠償案件統計資料</w:t>
      </w:r>
      <w:r w:rsidRPr="0092542C">
        <w:rPr>
          <w:rFonts w:ascii="標楷體" w:eastAsia="標楷體" w:hAnsi="標楷體"/>
          <w:sz w:val="32"/>
          <w:szCs w:val="32"/>
        </w:rPr>
        <w:t>。</w:t>
      </w:r>
    </w:p>
    <w:p w14:paraId="393AD783" w14:textId="77777777" w:rsidR="0092542C" w:rsidRPr="0092542C" w:rsidRDefault="0092542C" w:rsidP="0092542C">
      <w:pPr>
        <w:pStyle w:val="a9"/>
        <w:numPr>
          <w:ilvl w:val="0"/>
          <w:numId w:val="7"/>
        </w:numPr>
        <w:spacing w:line="560" w:lineRule="exact"/>
        <w:jc w:val="both"/>
        <w:rPr>
          <w:rFonts w:ascii="標楷體" w:eastAsia="標楷體" w:hAnsi="標楷體"/>
          <w:sz w:val="32"/>
          <w:szCs w:val="32"/>
        </w:rPr>
      </w:pPr>
      <w:r w:rsidRPr="006C121E">
        <w:rPr>
          <w:rFonts w:ascii="標楷體" w:eastAsia="標楷體" w:hAnsi="標楷體" w:cs="Times New Roman"/>
          <w:sz w:val="32"/>
          <w:szCs w:val="32"/>
          <w14:ligatures w14:val="none"/>
        </w:rPr>
        <w:t>性別平等政策綱領</w:t>
      </w:r>
    </w:p>
    <w:p w14:paraId="207A186F" w14:textId="2F0B469E" w:rsidR="0092542C" w:rsidRPr="0092542C" w:rsidRDefault="0092542C" w:rsidP="0092542C">
      <w:pPr>
        <w:pStyle w:val="a9"/>
        <w:spacing w:line="560" w:lineRule="exact"/>
        <w:ind w:left="1275"/>
        <w:jc w:val="both"/>
        <w:rPr>
          <w:rFonts w:ascii="標楷體" w:eastAsia="標楷體" w:hAnsi="標楷體"/>
          <w:sz w:val="32"/>
          <w:szCs w:val="32"/>
        </w:rPr>
      </w:pPr>
      <w:r w:rsidRPr="0092542C">
        <w:rPr>
          <w:rFonts w:ascii="標楷體" w:eastAsia="標楷體" w:hAnsi="標楷體" w:cs="Times New Roman" w:hint="eastAsia"/>
          <w:sz w:val="28"/>
          <w:szCs w:val="28"/>
          <w14:ligatures w14:val="none"/>
        </w:rPr>
        <w:t>(</w:t>
      </w:r>
      <w:r w:rsidRPr="0092542C">
        <w:rPr>
          <w:rFonts w:ascii="標楷體" w:eastAsia="標楷體" w:hAnsi="標楷體" w:cs="Times New Roman"/>
          <w:sz w:val="28"/>
          <w:szCs w:val="28"/>
          <w14:ligatures w14:val="none"/>
        </w:rPr>
        <w:t>https://gec.ey.gov.tw/Page/FD420B6572C922EA</w:t>
      </w:r>
      <w:r w:rsidRPr="0092542C">
        <w:rPr>
          <w:rFonts w:ascii="標楷體" w:eastAsia="標楷體" w:hAnsi="標楷體" w:cs="Times New Roman" w:hint="eastAsia"/>
          <w:sz w:val="28"/>
          <w:szCs w:val="28"/>
          <w14:ligatures w14:val="none"/>
        </w:rPr>
        <w:t>)</w:t>
      </w:r>
    </w:p>
    <w:p w14:paraId="7921CE2C" w14:textId="3B0C0AF2" w:rsidR="00272167" w:rsidRDefault="00272167" w:rsidP="00272167">
      <w:pPr>
        <w:spacing w:line="56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 xml:space="preserve">  (二)參考法令</w:t>
      </w:r>
      <w:r w:rsidR="00B373B0">
        <w:rPr>
          <w:rFonts w:ascii="標楷體" w:eastAsia="標楷體" w:hAnsi="標楷體" w:hint="eastAsia"/>
          <w:sz w:val="32"/>
          <w:szCs w:val="32"/>
        </w:rPr>
        <w:t>/</w:t>
      </w:r>
      <w:r w:rsidR="00B373B0" w:rsidRPr="001410EF">
        <w:rPr>
          <w:rFonts w:ascii="標楷體" w:eastAsia="標楷體" w:hAnsi="標楷體" w:cs="Times New Roman"/>
          <w:sz w:val="32"/>
          <w:szCs w:val="32"/>
          <w14:ligatures w14:val="none"/>
        </w:rPr>
        <w:t>公約</w:t>
      </w:r>
      <w:r w:rsidRPr="00B418B8">
        <w:rPr>
          <w:rFonts w:ascii="標楷體" w:eastAsia="標楷體" w:hAnsi="標楷體"/>
          <w:sz w:val="32"/>
          <w:szCs w:val="32"/>
        </w:rPr>
        <w:t>：</w:t>
      </w:r>
    </w:p>
    <w:p w14:paraId="20EF742F" w14:textId="67975D3C" w:rsidR="00272167" w:rsidRDefault="00272167" w:rsidP="001410EF">
      <w:pPr>
        <w:pStyle w:val="a9"/>
        <w:numPr>
          <w:ilvl w:val="0"/>
          <w:numId w:val="8"/>
        </w:numPr>
        <w:spacing w:line="560" w:lineRule="exact"/>
        <w:jc w:val="both"/>
        <w:rPr>
          <w:rFonts w:ascii="標楷體" w:eastAsia="標楷體" w:hAnsi="標楷體"/>
          <w:sz w:val="32"/>
          <w:szCs w:val="32"/>
        </w:rPr>
      </w:pPr>
      <w:r w:rsidRPr="001410EF">
        <w:rPr>
          <w:rFonts w:ascii="標楷體" w:eastAsia="標楷體" w:hAnsi="標楷體" w:hint="eastAsia"/>
          <w:sz w:val="32"/>
          <w:szCs w:val="32"/>
        </w:rPr>
        <w:t>國家賠償法第3條第1項：公共設施因設置或管理有欠缺，致人民生命、身體、人身自由或財產受損害者，國家應負損害賠償責任。</w:t>
      </w:r>
    </w:p>
    <w:p w14:paraId="38054036" w14:textId="2273291A" w:rsidR="001410EF" w:rsidRPr="001410EF" w:rsidRDefault="00F96821" w:rsidP="001410EF">
      <w:pPr>
        <w:pStyle w:val="a9"/>
        <w:numPr>
          <w:ilvl w:val="0"/>
          <w:numId w:val="8"/>
        </w:numPr>
        <w:spacing w:after="0" w:line="520" w:lineRule="exact"/>
        <w:rPr>
          <w:rFonts w:ascii="標楷體" w:eastAsia="標楷體" w:hAnsi="標楷體"/>
          <w:sz w:val="32"/>
          <w:szCs w:val="32"/>
        </w:rPr>
        <w:sectPr w:rsidR="001410EF" w:rsidRPr="001410EF" w:rsidSect="001410EF">
          <w:footerReference w:type="default" r:id="rId7"/>
          <w:pgSz w:w="11906" w:h="16838"/>
          <w:pgMar w:top="1440" w:right="1800" w:bottom="1440" w:left="1800" w:header="851" w:footer="992" w:gutter="0"/>
          <w:cols w:space="425"/>
          <w:docGrid w:type="lines" w:linePitch="360"/>
        </w:sectPr>
      </w:pPr>
      <w:r w:rsidRPr="00F96821">
        <w:rPr>
          <w:rFonts w:ascii="標楷體" w:eastAsia="標楷體" w:hAnsi="標楷體" w:cs="Times New Roman" w:hint="eastAsia"/>
          <w:sz w:val="32"/>
          <w:szCs w:val="32"/>
          <w14:ligatures w14:val="none"/>
        </w:rPr>
        <w:t>聯合國《消除對婦女一切形式歧視公約》</w:t>
      </w:r>
      <w:r w:rsidRPr="00F96821">
        <w:rPr>
          <w:rFonts w:ascii="標楷體" w:eastAsia="標楷體" w:hAnsi="標楷體" w:cs="Times New Roman"/>
          <w:sz w:val="32"/>
          <w:szCs w:val="32"/>
          <w14:ligatures w14:val="none"/>
        </w:rPr>
        <w:t>(CEDAW)</w:t>
      </w:r>
      <w:r w:rsidRPr="00F96821">
        <w:rPr>
          <w:rFonts w:ascii="標楷體" w:eastAsia="標楷體" w:hAnsi="標楷體" w:cs="Times New Roman" w:hint="eastAsia"/>
          <w:sz w:val="32"/>
          <w:szCs w:val="32"/>
          <w14:ligatures w14:val="none"/>
        </w:rPr>
        <w:t>第</w:t>
      </w:r>
      <w:r w:rsidRPr="00F96821">
        <w:rPr>
          <w:rFonts w:ascii="標楷體" w:eastAsia="標楷體" w:hAnsi="標楷體" w:cs="Times New Roman"/>
          <w:sz w:val="32"/>
          <w:szCs w:val="32"/>
          <w14:ligatures w14:val="none"/>
        </w:rPr>
        <w:t>3</w:t>
      </w:r>
      <w:r w:rsidRPr="00F96821">
        <w:rPr>
          <w:rFonts w:ascii="標楷體" w:eastAsia="標楷體" w:hAnsi="標楷體" w:cs="Times New Roman" w:hint="eastAsia"/>
          <w:sz w:val="32"/>
          <w:szCs w:val="32"/>
          <w14:ligatures w14:val="none"/>
        </w:rPr>
        <w:t>條規定，</w:t>
      </w:r>
      <w:r w:rsidR="00B30145" w:rsidRPr="00B30145">
        <w:rPr>
          <w:rFonts w:ascii="標楷體" w:eastAsia="標楷體" w:hAnsi="標楷體" w:cs="Times New Roman" w:hint="eastAsia"/>
          <w:sz w:val="32"/>
          <w:szCs w:val="32"/>
          <w14:ligatures w14:val="none"/>
        </w:rPr>
        <w:t>應承擔在所有領域，特別是在政治、社會、經濟、文化領域，採取一切適當措施，包括制定法律，保證婦女得到充分發展和進步，以確保婦女在與男子平等的基礎上，行使和享有人權和基本自由</w:t>
      </w:r>
      <w:r w:rsidR="00B30145">
        <w:rPr>
          <w:rFonts w:ascii="標楷體" w:eastAsia="標楷體" w:hAnsi="標楷體" w:cs="Times New Roman" w:hint="eastAsia"/>
          <w:sz w:val="32"/>
          <w:szCs w:val="32"/>
          <w14:ligatures w14:val="none"/>
        </w:rPr>
        <w:t>；</w:t>
      </w:r>
      <w:r w:rsidRPr="00F96821">
        <w:rPr>
          <w:rFonts w:ascii="標楷體" w:eastAsia="標楷體" w:hAnsi="標楷體" w:cs="Times New Roman" w:hint="eastAsia"/>
          <w:sz w:val="32"/>
          <w:szCs w:val="32"/>
          <w14:ligatures w14:val="none"/>
        </w:rPr>
        <w:t>第</w:t>
      </w:r>
      <w:r w:rsidRPr="00F96821">
        <w:rPr>
          <w:rFonts w:ascii="標楷體" w:eastAsia="標楷體" w:hAnsi="標楷體" w:cs="Times New Roman"/>
          <w:sz w:val="32"/>
          <w:szCs w:val="32"/>
          <w14:ligatures w14:val="none"/>
        </w:rPr>
        <w:t>15</w:t>
      </w:r>
      <w:r w:rsidRPr="00F96821">
        <w:rPr>
          <w:rFonts w:ascii="標楷體" w:eastAsia="標楷體" w:hAnsi="標楷體" w:cs="Times New Roman" w:hint="eastAsia"/>
          <w:sz w:val="32"/>
          <w:szCs w:val="32"/>
          <w14:ligatures w14:val="none"/>
        </w:rPr>
        <w:t>條</w:t>
      </w:r>
      <w:r w:rsidR="00934243">
        <w:rPr>
          <w:rFonts w:ascii="標楷體" w:eastAsia="標楷體" w:hAnsi="標楷體" w:cs="Times New Roman" w:hint="eastAsia"/>
          <w:sz w:val="32"/>
          <w:szCs w:val="32"/>
          <w14:ligatures w14:val="none"/>
        </w:rPr>
        <w:t>規定，</w:t>
      </w:r>
      <w:r w:rsidR="00B30145" w:rsidRPr="00B30145">
        <w:rPr>
          <w:rFonts w:ascii="標楷體" w:eastAsia="標楷體" w:hAnsi="標楷體" w:cs="Times New Roman"/>
          <w:sz w:val="32"/>
          <w:szCs w:val="32"/>
          <w14:ligatures w14:val="none"/>
        </w:rPr>
        <w:t>應給予男女在法律面前平等的地位</w:t>
      </w:r>
      <w:r w:rsidR="00697A66">
        <w:rPr>
          <w:rFonts w:ascii="標楷體" w:eastAsia="標楷體" w:hAnsi="標楷體" w:cs="Times New Roman" w:hint="eastAsia"/>
          <w:sz w:val="32"/>
          <w:szCs w:val="32"/>
          <w14:ligatures w14:val="none"/>
        </w:rPr>
        <w:t>；</w:t>
      </w:r>
      <w:r w:rsidRPr="00F96821">
        <w:rPr>
          <w:rFonts w:ascii="標楷體" w:eastAsia="標楷體" w:hAnsi="標楷體" w:cs="Times New Roman" w:hint="eastAsia"/>
          <w:sz w:val="32"/>
          <w:szCs w:val="32"/>
          <w14:ligatures w14:val="none"/>
        </w:rPr>
        <w:t>第</w:t>
      </w:r>
      <w:r w:rsidRPr="00F96821">
        <w:rPr>
          <w:rFonts w:ascii="標楷體" w:eastAsia="標楷體" w:hAnsi="標楷體" w:cs="Times New Roman"/>
          <w:sz w:val="32"/>
          <w:szCs w:val="32"/>
          <w14:ligatures w14:val="none"/>
        </w:rPr>
        <w:t>16</w:t>
      </w:r>
      <w:r w:rsidRPr="00F96821">
        <w:rPr>
          <w:rFonts w:ascii="標楷體" w:eastAsia="標楷體" w:hAnsi="標楷體" w:cs="Times New Roman" w:hint="eastAsia"/>
          <w:sz w:val="32"/>
          <w:szCs w:val="32"/>
          <w14:ligatures w14:val="none"/>
        </w:rPr>
        <w:t>條</w:t>
      </w:r>
      <w:r w:rsidR="00934243">
        <w:rPr>
          <w:rFonts w:ascii="標楷體" w:eastAsia="標楷體" w:hAnsi="標楷體" w:cs="Times New Roman" w:hint="eastAsia"/>
          <w:sz w:val="32"/>
          <w:szCs w:val="32"/>
          <w14:ligatures w14:val="none"/>
        </w:rPr>
        <w:t>規定，</w:t>
      </w:r>
      <w:r w:rsidR="00B30145" w:rsidRPr="00B30145">
        <w:rPr>
          <w:rFonts w:ascii="標楷體" w:eastAsia="標楷體" w:hAnsi="標楷體" w:cs="Times New Roman" w:hint="eastAsia"/>
          <w:sz w:val="32"/>
          <w:szCs w:val="32"/>
          <w14:ligatures w14:val="none"/>
        </w:rPr>
        <w:t>應採取一切適當措施，消除在有關婚姻和家庭關係的一切事務上對婦女的歧視</w:t>
      </w:r>
      <w:r w:rsidR="00B30145">
        <w:rPr>
          <w:rFonts w:ascii="標楷體" w:eastAsia="標楷體" w:hAnsi="標楷體" w:cs="Times New Roman" w:hint="eastAsia"/>
          <w:sz w:val="32"/>
          <w:szCs w:val="32"/>
          <w14:ligatures w14:val="none"/>
        </w:rPr>
        <w:t>。</w:t>
      </w:r>
    </w:p>
    <w:p w14:paraId="437A3793" w14:textId="77777777" w:rsidR="00655EA7" w:rsidRPr="00FF41DE" w:rsidRDefault="00655EA7" w:rsidP="00655EA7">
      <w:pPr>
        <w:widowControl/>
        <w:rPr>
          <w:rFonts w:ascii="標楷體" w:eastAsia="標楷體" w:hAnsi="標楷體"/>
          <w:color w:val="FF0000"/>
          <w:sz w:val="32"/>
          <w:szCs w:val="32"/>
        </w:rPr>
      </w:pPr>
      <w:r w:rsidRPr="00FF41DE">
        <w:rPr>
          <w:rFonts w:ascii="標楷體" w:eastAsia="標楷體" w:hAnsi="標楷體" w:hint="eastAsia"/>
          <w:color w:val="FF0000"/>
          <w:sz w:val="32"/>
          <w:szCs w:val="32"/>
        </w:rPr>
        <w:lastRenderedPageBreak/>
        <w:t>附表-109年至113年</w:t>
      </w:r>
      <w:r w:rsidRPr="00FF41DE">
        <w:rPr>
          <w:rFonts w:ascii="標楷體" w:eastAsia="標楷體" w:hAnsi="標楷體" w:cs="標楷體" w:hint="eastAsia"/>
          <w:color w:val="FF0000"/>
          <w:kern w:val="3"/>
          <w:sz w:val="32"/>
          <w:szCs w:val="32"/>
        </w:rPr>
        <w:t>本府收受性別暴力國賠案件</w:t>
      </w:r>
    </w:p>
    <w:tbl>
      <w:tblPr>
        <w:tblStyle w:val="af2"/>
        <w:tblW w:w="14786" w:type="dxa"/>
        <w:tblLayout w:type="fixed"/>
        <w:tblLook w:val="04A0" w:firstRow="1" w:lastRow="0" w:firstColumn="1" w:lastColumn="0" w:noHBand="0" w:noVBand="1"/>
      </w:tblPr>
      <w:tblGrid>
        <w:gridCol w:w="456"/>
        <w:gridCol w:w="1099"/>
        <w:gridCol w:w="708"/>
        <w:gridCol w:w="1134"/>
        <w:gridCol w:w="709"/>
        <w:gridCol w:w="1420"/>
        <w:gridCol w:w="1557"/>
        <w:gridCol w:w="857"/>
        <w:gridCol w:w="1207"/>
        <w:gridCol w:w="1207"/>
        <w:gridCol w:w="840"/>
        <w:gridCol w:w="1574"/>
        <w:gridCol w:w="1021"/>
        <w:gridCol w:w="997"/>
      </w:tblGrid>
      <w:tr w:rsidR="00015113" w:rsidRPr="001176B7" w14:paraId="59CA3FF6" w14:textId="77777777" w:rsidTr="00303730">
        <w:trPr>
          <w:trHeight w:val="828"/>
        </w:trPr>
        <w:tc>
          <w:tcPr>
            <w:tcW w:w="456" w:type="dxa"/>
            <w:noWrap/>
            <w:vAlign w:val="center"/>
            <w:hideMark/>
          </w:tcPr>
          <w:p w14:paraId="42B2D13A" w14:textId="77777777" w:rsidR="00015113" w:rsidRPr="002010AF" w:rsidRDefault="00015113" w:rsidP="00303730">
            <w:pPr>
              <w:widowControl/>
              <w:spacing w:after="160" w:line="278" w:lineRule="auto"/>
              <w:jc w:val="center"/>
              <w:rPr>
                <w:rFonts w:ascii="標楷體" w:eastAsia="標楷體" w:hAnsi="標楷體" w:cs="新細明體"/>
                <w:kern w:val="0"/>
                <w:szCs w:val="20"/>
              </w:rPr>
            </w:pPr>
            <w:r w:rsidRPr="001176B7">
              <w:rPr>
                <w:rFonts w:ascii="標楷體" w:eastAsia="標楷體" w:hAnsi="標楷體" w:cs="新細明體" w:hint="eastAsia"/>
                <w:kern w:val="0"/>
                <w:szCs w:val="20"/>
              </w:rPr>
              <w:t>案件</w:t>
            </w:r>
          </w:p>
        </w:tc>
        <w:tc>
          <w:tcPr>
            <w:tcW w:w="1099" w:type="dxa"/>
            <w:noWrap/>
            <w:hideMark/>
          </w:tcPr>
          <w:p w14:paraId="61117B34"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請求權人身分</w:t>
            </w:r>
          </w:p>
        </w:tc>
        <w:tc>
          <w:tcPr>
            <w:tcW w:w="708" w:type="dxa"/>
            <w:noWrap/>
            <w:hideMark/>
          </w:tcPr>
          <w:p w14:paraId="76B0719F"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行為人性別</w:t>
            </w:r>
          </w:p>
        </w:tc>
        <w:tc>
          <w:tcPr>
            <w:tcW w:w="1843" w:type="dxa"/>
            <w:gridSpan w:val="2"/>
            <w:noWrap/>
            <w:hideMark/>
          </w:tcPr>
          <w:p w14:paraId="6A03EB01"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被害人</w:t>
            </w:r>
          </w:p>
        </w:tc>
        <w:tc>
          <w:tcPr>
            <w:tcW w:w="1420" w:type="dxa"/>
            <w:noWrap/>
            <w:hideMark/>
          </w:tcPr>
          <w:p w14:paraId="335B642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請求事由</w:t>
            </w:r>
          </w:p>
        </w:tc>
        <w:tc>
          <w:tcPr>
            <w:tcW w:w="1557" w:type="dxa"/>
            <w:noWrap/>
            <w:hideMark/>
          </w:tcPr>
          <w:p w14:paraId="541DD707" w14:textId="77777777" w:rsidR="00015113" w:rsidRPr="002010AF" w:rsidRDefault="00015113" w:rsidP="00A6482C">
            <w:pPr>
              <w:widowControl/>
              <w:rPr>
                <w:rFonts w:ascii="標楷體" w:eastAsia="標楷體" w:hAnsi="標楷體" w:cs="新細明體"/>
                <w:color w:val="000000"/>
                <w:kern w:val="0"/>
              </w:rPr>
            </w:pPr>
            <w:r>
              <w:rPr>
                <w:rFonts w:ascii="標楷體" w:eastAsia="標楷體" w:hAnsi="標楷體" w:cs="新細明體" w:hint="eastAsia"/>
                <w:color w:val="000000"/>
                <w:kern w:val="0"/>
              </w:rPr>
              <w:t>當事人</w:t>
            </w:r>
            <w:r w:rsidRPr="002010AF">
              <w:rPr>
                <w:rFonts w:ascii="標楷體" w:eastAsia="標楷體" w:hAnsi="標楷體" w:cs="新細明體" w:hint="eastAsia"/>
                <w:color w:val="000000"/>
                <w:kern w:val="0"/>
              </w:rPr>
              <w:t>身分</w:t>
            </w:r>
          </w:p>
        </w:tc>
        <w:tc>
          <w:tcPr>
            <w:tcW w:w="857" w:type="dxa"/>
            <w:noWrap/>
            <w:hideMark/>
          </w:tcPr>
          <w:p w14:paraId="17CEFD7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發生場域</w:t>
            </w:r>
          </w:p>
        </w:tc>
        <w:tc>
          <w:tcPr>
            <w:tcW w:w="1207" w:type="dxa"/>
            <w:noWrap/>
            <w:hideMark/>
          </w:tcPr>
          <w:p w14:paraId="7ADF64FF"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行為態樣</w:t>
            </w:r>
          </w:p>
        </w:tc>
        <w:tc>
          <w:tcPr>
            <w:tcW w:w="1207" w:type="dxa"/>
            <w:noWrap/>
            <w:hideMark/>
          </w:tcPr>
          <w:p w14:paraId="67327A81" w14:textId="77777777" w:rsidR="00015113" w:rsidRPr="002010AF" w:rsidRDefault="00015113" w:rsidP="00A6482C">
            <w:pPr>
              <w:widowControl/>
              <w:rPr>
                <w:rFonts w:ascii="標楷體" w:eastAsia="標楷體" w:hAnsi="標楷體" w:cs="新細明體"/>
                <w:color w:val="000000"/>
                <w:kern w:val="0"/>
              </w:rPr>
            </w:pPr>
            <w:r>
              <w:rPr>
                <w:rFonts w:ascii="標楷體" w:eastAsia="標楷體" w:hAnsi="標楷體" w:cs="新細明體" w:hint="eastAsia"/>
                <w:color w:val="000000"/>
                <w:kern w:val="0"/>
              </w:rPr>
              <w:t>性別暴力</w:t>
            </w:r>
            <w:r w:rsidRPr="002010AF">
              <w:rPr>
                <w:rFonts w:ascii="標楷體" w:eastAsia="標楷體" w:hAnsi="標楷體" w:cs="新細明體" w:hint="eastAsia"/>
                <w:color w:val="000000"/>
                <w:kern w:val="0"/>
              </w:rPr>
              <w:t>行為是否成立</w:t>
            </w:r>
          </w:p>
        </w:tc>
        <w:tc>
          <w:tcPr>
            <w:tcW w:w="840" w:type="dxa"/>
            <w:noWrap/>
            <w:hideMark/>
          </w:tcPr>
          <w:p w14:paraId="0E79FE64" w14:textId="77777777" w:rsidR="00015113" w:rsidRPr="002010AF" w:rsidRDefault="00015113" w:rsidP="00A6482C">
            <w:pPr>
              <w:widowControl/>
              <w:rPr>
                <w:rFonts w:ascii="標楷體" w:eastAsia="標楷體" w:hAnsi="標楷體" w:cs="新細明體"/>
                <w:color w:val="000000"/>
                <w:kern w:val="0"/>
              </w:rPr>
            </w:pPr>
            <w:proofErr w:type="gramStart"/>
            <w:r w:rsidRPr="002010AF">
              <w:rPr>
                <w:rFonts w:ascii="標楷體" w:eastAsia="標楷體" w:hAnsi="標楷體" w:cs="新細明體" w:hint="eastAsia"/>
                <w:color w:val="000000"/>
                <w:kern w:val="0"/>
              </w:rPr>
              <w:t>國賠</w:t>
            </w:r>
            <w:r>
              <w:rPr>
                <w:rFonts w:ascii="標楷體" w:eastAsia="標楷體" w:hAnsi="標楷體" w:cs="新細明體" w:hint="eastAsia"/>
                <w:color w:val="000000"/>
                <w:kern w:val="0"/>
              </w:rPr>
              <w:t>會決議</w:t>
            </w:r>
            <w:proofErr w:type="gramEnd"/>
          </w:p>
        </w:tc>
        <w:tc>
          <w:tcPr>
            <w:tcW w:w="1574" w:type="dxa"/>
            <w:noWrap/>
            <w:hideMark/>
          </w:tcPr>
          <w:p w14:paraId="7921077C"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判決結果</w:t>
            </w:r>
            <w:r>
              <w:rPr>
                <w:rFonts w:ascii="標楷體" w:eastAsia="標楷體" w:hAnsi="標楷體" w:cs="新細明體" w:hint="eastAsia"/>
                <w:color w:val="000000"/>
                <w:kern w:val="0"/>
              </w:rPr>
              <w:t>或現況</w:t>
            </w:r>
          </w:p>
        </w:tc>
        <w:tc>
          <w:tcPr>
            <w:tcW w:w="2018" w:type="dxa"/>
            <w:gridSpan w:val="2"/>
            <w:noWrap/>
            <w:hideMark/>
          </w:tcPr>
          <w:p w14:paraId="032912FE"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提起訴願</w:t>
            </w:r>
          </w:p>
        </w:tc>
      </w:tr>
      <w:tr w:rsidR="00015113" w:rsidRPr="001176B7" w14:paraId="4DF04D53" w14:textId="77777777" w:rsidTr="00303730">
        <w:trPr>
          <w:trHeight w:val="324"/>
        </w:trPr>
        <w:tc>
          <w:tcPr>
            <w:tcW w:w="456" w:type="dxa"/>
            <w:noWrap/>
            <w:vAlign w:val="center"/>
            <w:hideMark/>
          </w:tcPr>
          <w:p w14:paraId="3F04A838" w14:textId="77777777" w:rsidR="00015113" w:rsidRPr="002010AF" w:rsidRDefault="00015113" w:rsidP="00303730">
            <w:pPr>
              <w:widowControl/>
              <w:jc w:val="center"/>
              <w:rPr>
                <w:rFonts w:ascii="標楷體" w:eastAsia="標楷體" w:hAnsi="標楷體" w:cs="新細明體"/>
                <w:color w:val="000000"/>
                <w:kern w:val="0"/>
              </w:rPr>
            </w:pPr>
          </w:p>
        </w:tc>
        <w:tc>
          <w:tcPr>
            <w:tcW w:w="1099" w:type="dxa"/>
            <w:noWrap/>
            <w:hideMark/>
          </w:tcPr>
          <w:p w14:paraId="30B653BF" w14:textId="77777777" w:rsidR="00015113" w:rsidRPr="002010AF" w:rsidRDefault="00015113" w:rsidP="00A6482C">
            <w:pPr>
              <w:widowControl/>
              <w:rPr>
                <w:rFonts w:ascii="標楷體" w:eastAsia="標楷體" w:hAnsi="標楷體" w:cs="新細明體"/>
                <w:color w:val="000000"/>
                <w:kern w:val="0"/>
              </w:rPr>
            </w:pPr>
          </w:p>
        </w:tc>
        <w:tc>
          <w:tcPr>
            <w:tcW w:w="708" w:type="dxa"/>
            <w:noWrap/>
            <w:hideMark/>
          </w:tcPr>
          <w:p w14:paraId="5DB79356" w14:textId="77777777" w:rsidR="00015113" w:rsidRPr="002010AF" w:rsidRDefault="00015113" w:rsidP="00A6482C">
            <w:pPr>
              <w:widowControl/>
              <w:rPr>
                <w:rFonts w:ascii="標楷體" w:eastAsia="標楷體" w:hAnsi="標楷體" w:cs="新細明體"/>
                <w:color w:val="000000"/>
                <w:kern w:val="0"/>
              </w:rPr>
            </w:pPr>
          </w:p>
        </w:tc>
        <w:tc>
          <w:tcPr>
            <w:tcW w:w="1134" w:type="dxa"/>
            <w:noWrap/>
            <w:hideMark/>
          </w:tcPr>
          <w:p w14:paraId="669C38FC"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年齡</w:t>
            </w:r>
          </w:p>
        </w:tc>
        <w:tc>
          <w:tcPr>
            <w:tcW w:w="709" w:type="dxa"/>
            <w:noWrap/>
            <w:hideMark/>
          </w:tcPr>
          <w:p w14:paraId="12430739"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性別</w:t>
            </w:r>
          </w:p>
        </w:tc>
        <w:tc>
          <w:tcPr>
            <w:tcW w:w="1420" w:type="dxa"/>
            <w:noWrap/>
            <w:hideMark/>
          </w:tcPr>
          <w:p w14:paraId="3078C9DC" w14:textId="77777777" w:rsidR="00015113" w:rsidRPr="002010AF" w:rsidRDefault="00015113" w:rsidP="00A6482C">
            <w:pPr>
              <w:widowControl/>
              <w:rPr>
                <w:rFonts w:ascii="標楷體" w:eastAsia="標楷體" w:hAnsi="標楷體" w:cs="新細明體"/>
                <w:color w:val="000000"/>
                <w:kern w:val="0"/>
              </w:rPr>
            </w:pPr>
          </w:p>
        </w:tc>
        <w:tc>
          <w:tcPr>
            <w:tcW w:w="1557" w:type="dxa"/>
            <w:noWrap/>
            <w:hideMark/>
          </w:tcPr>
          <w:p w14:paraId="24E4C096" w14:textId="77777777" w:rsidR="00015113" w:rsidRPr="002010AF" w:rsidRDefault="00015113" w:rsidP="00A6482C">
            <w:pPr>
              <w:widowControl/>
              <w:rPr>
                <w:rFonts w:ascii="標楷體" w:eastAsia="標楷體" w:hAnsi="標楷體" w:cs="Times New Roman"/>
                <w:kern w:val="0"/>
                <w:sz w:val="20"/>
                <w:szCs w:val="20"/>
              </w:rPr>
            </w:pPr>
          </w:p>
        </w:tc>
        <w:tc>
          <w:tcPr>
            <w:tcW w:w="857" w:type="dxa"/>
            <w:noWrap/>
            <w:hideMark/>
          </w:tcPr>
          <w:p w14:paraId="76BCEECA" w14:textId="77777777" w:rsidR="00015113" w:rsidRPr="002010AF" w:rsidRDefault="00015113" w:rsidP="00A6482C">
            <w:pPr>
              <w:widowControl/>
              <w:rPr>
                <w:rFonts w:ascii="標楷體" w:eastAsia="標楷體" w:hAnsi="標楷體" w:cs="Times New Roman"/>
                <w:kern w:val="0"/>
                <w:sz w:val="20"/>
                <w:szCs w:val="20"/>
              </w:rPr>
            </w:pPr>
          </w:p>
        </w:tc>
        <w:tc>
          <w:tcPr>
            <w:tcW w:w="1207" w:type="dxa"/>
            <w:noWrap/>
            <w:hideMark/>
          </w:tcPr>
          <w:p w14:paraId="4921B358" w14:textId="77777777" w:rsidR="00015113" w:rsidRPr="002010AF" w:rsidRDefault="00015113" w:rsidP="00A6482C">
            <w:pPr>
              <w:widowControl/>
              <w:rPr>
                <w:rFonts w:ascii="標楷體" w:eastAsia="標楷體" w:hAnsi="標楷體" w:cs="Times New Roman"/>
                <w:kern w:val="0"/>
                <w:sz w:val="20"/>
                <w:szCs w:val="20"/>
              </w:rPr>
            </w:pPr>
          </w:p>
        </w:tc>
        <w:tc>
          <w:tcPr>
            <w:tcW w:w="1207" w:type="dxa"/>
            <w:noWrap/>
            <w:hideMark/>
          </w:tcPr>
          <w:p w14:paraId="2CEA0977" w14:textId="77777777" w:rsidR="00015113" w:rsidRPr="002010AF" w:rsidRDefault="00015113" w:rsidP="00A6482C">
            <w:pPr>
              <w:widowControl/>
              <w:rPr>
                <w:rFonts w:ascii="標楷體" w:eastAsia="標楷體" w:hAnsi="標楷體" w:cs="Times New Roman"/>
                <w:kern w:val="0"/>
                <w:sz w:val="20"/>
                <w:szCs w:val="20"/>
              </w:rPr>
            </w:pPr>
          </w:p>
        </w:tc>
        <w:tc>
          <w:tcPr>
            <w:tcW w:w="840" w:type="dxa"/>
            <w:noWrap/>
            <w:hideMark/>
          </w:tcPr>
          <w:p w14:paraId="4681091E" w14:textId="77777777" w:rsidR="00015113" w:rsidRPr="002010AF" w:rsidRDefault="00015113" w:rsidP="00A6482C">
            <w:pPr>
              <w:widowControl/>
              <w:rPr>
                <w:rFonts w:ascii="標楷體" w:eastAsia="標楷體" w:hAnsi="標楷體" w:cs="Times New Roman"/>
                <w:kern w:val="0"/>
                <w:sz w:val="20"/>
                <w:szCs w:val="20"/>
              </w:rPr>
            </w:pPr>
          </w:p>
        </w:tc>
        <w:tc>
          <w:tcPr>
            <w:tcW w:w="1574" w:type="dxa"/>
            <w:noWrap/>
            <w:hideMark/>
          </w:tcPr>
          <w:p w14:paraId="5F4793C5" w14:textId="77777777" w:rsidR="00015113" w:rsidRPr="002010AF" w:rsidRDefault="00015113" w:rsidP="00A6482C">
            <w:pPr>
              <w:widowControl/>
              <w:rPr>
                <w:rFonts w:ascii="標楷體" w:eastAsia="標楷體" w:hAnsi="標楷體" w:cs="Times New Roman"/>
                <w:kern w:val="0"/>
                <w:sz w:val="20"/>
                <w:szCs w:val="20"/>
              </w:rPr>
            </w:pPr>
          </w:p>
        </w:tc>
        <w:tc>
          <w:tcPr>
            <w:tcW w:w="1021" w:type="dxa"/>
            <w:noWrap/>
            <w:hideMark/>
          </w:tcPr>
          <w:p w14:paraId="57FCDE8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w:t>
            </w:r>
          </w:p>
        </w:tc>
        <w:tc>
          <w:tcPr>
            <w:tcW w:w="997" w:type="dxa"/>
            <w:noWrap/>
            <w:hideMark/>
          </w:tcPr>
          <w:p w14:paraId="1AF1EBD0"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被害人</w:t>
            </w:r>
          </w:p>
        </w:tc>
      </w:tr>
      <w:tr w:rsidR="00015113" w:rsidRPr="001176B7" w14:paraId="4578E1FA" w14:textId="77777777" w:rsidTr="00303730">
        <w:trPr>
          <w:trHeight w:val="324"/>
        </w:trPr>
        <w:tc>
          <w:tcPr>
            <w:tcW w:w="456" w:type="dxa"/>
            <w:noWrap/>
            <w:vAlign w:val="center"/>
          </w:tcPr>
          <w:p w14:paraId="16D33CED"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w:t>
            </w:r>
          </w:p>
        </w:tc>
        <w:tc>
          <w:tcPr>
            <w:tcW w:w="1099" w:type="dxa"/>
            <w:noWrap/>
            <w:hideMark/>
          </w:tcPr>
          <w:p w14:paraId="40D5066C"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w:t>
            </w:r>
          </w:p>
        </w:tc>
        <w:tc>
          <w:tcPr>
            <w:tcW w:w="708" w:type="dxa"/>
            <w:noWrap/>
            <w:hideMark/>
          </w:tcPr>
          <w:p w14:paraId="47642B29"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68D89A2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未成年</w:t>
            </w:r>
          </w:p>
        </w:tc>
        <w:tc>
          <w:tcPr>
            <w:tcW w:w="709" w:type="dxa"/>
            <w:noWrap/>
            <w:hideMark/>
          </w:tcPr>
          <w:p w14:paraId="589E0D2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女</w:t>
            </w:r>
          </w:p>
        </w:tc>
        <w:tc>
          <w:tcPr>
            <w:tcW w:w="1420" w:type="dxa"/>
            <w:noWrap/>
            <w:hideMark/>
          </w:tcPr>
          <w:p w14:paraId="426C56BB"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調查過程或處理不當</w:t>
            </w:r>
          </w:p>
        </w:tc>
        <w:tc>
          <w:tcPr>
            <w:tcW w:w="1557" w:type="dxa"/>
            <w:noWrap/>
            <w:hideMark/>
          </w:tcPr>
          <w:p w14:paraId="5148268A"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公務員對民眾</w:t>
            </w:r>
          </w:p>
        </w:tc>
        <w:tc>
          <w:tcPr>
            <w:tcW w:w="857" w:type="dxa"/>
            <w:noWrap/>
            <w:hideMark/>
          </w:tcPr>
          <w:p w14:paraId="57FB577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機關</w:t>
            </w:r>
          </w:p>
        </w:tc>
        <w:tc>
          <w:tcPr>
            <w:tcW w:w="1207" w:type="dxa"/>
            <w:noWrap/>
            <w:hideMark/>
          </w:tcPr>
          <w:p w14:paraId="6057808A"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性騷擾</w:t>
            </w:r>
          </w:p>
        </w:tc>
        <w:tc>
          <w:tcPr>
            <w:tcW w:w="1207" w:type="dxa"/>
            <w:noWrap/>
            <w:hideMark/>
          </w:tcPr>
          <w:p w14:paraId="17EB2832"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成立</w:t>
            </w:r>
          </w:p>
        </w:tc>
        <w:tc>
          <w:tcPr>
            <w:tcW w:w="840" w:type="dxa"/>
            <w:noWrap/>
            <w:hideMark/>
          </w:tcPr>
          <w:p w14:paraId="2C4D815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拒絕賠償</w:t>
            </w:r>
          </w:p>
        </w:tc>
        <w:tc>
          <w:tcPr>
            <w:tcW w:w="1574" w:type="dxa"/>
            <w:noWrap/>
            <w:hideMark/>
          </w:tcPr>
          <w:p w14:paraId="3468A2A7" w14:textId="77777777" w:rsidR="00015113" w:rsidRPr="002010AF" w:rsidRDefault="00015113" w:rsidP="00A6482C">
            <w:pPr>
              <w:widowControl/>
              <w:rPr>
                <w:rFonts w:ascii="標楷體" w:eastAsia="標楷體" w:hAnsi="標楷體" w:cs="新細明體"/>
                <w:color w:val="000000"/>
                <w:kern w:val="0"/>
              </w:rPr>
            </w:pPr>
          </w:p>
        </w:tc>
        <w:tc>
          <w:tcPr>
            <w:tcW w:w="1021" w:type="dxa"/>
            <w:noWrap/>
            <w:hideMark/>
          </w:tcPr>
          <w:p w14:paraId="2D34C0A7"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有</w:t>
            </w:r>
          </w:p>
        </w:tc>
        <w:tc>
          <w:tcPr>
            <w:tcW w:w="997" w:type="dxa"/>
            <w:noWrap/>
            <w:hideMark/>
          </w:tcPr>
          <w:p w14:paraId="5BCF944B" w14:textId="77777777" w:rsidR="00015113" w:rsidRPr="002010AF" w:rsidRDefault="00015113" w:rsidP="00A6482C">
            <w:pPr>
              <w:widowControl/>
              <w:rPr>
                <w:rFonts w:ascii="標楷體" w:eastAsia="標楷體" w:hAnsi="標楷體" w:cs="新細明體"/>
                <w:color w:val="000000"/>
                <w:kern w:val="0"/>
              </w:rPr>
            </w:pPr>
          </w:p>
        </w:tc>
      </w:tr>
      <w:tr w:rsidR="00015113" w:rsidRPr="001176B7" w14:paraId="3722A574" w14:textId="77777777" w:rsidTr="00303730">
        <w:trPr>
          <w:trHeight w:val="324"/>
        </w:trPr>
        <w:tc>
          <w:tcPr>
            <w:tcW w:w="456" w:type="dxa"/>
            <w:noWrap/>
            <w:vAlign w:val="center"/>
          </w:tcPr>
          <w:p w14:paraId="498220C4"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2</w:t>
            </w:r>
          </w:p>
        </w:tc>
        <w:tc>
          <w:tcPr>
            <w:tcW w:w="1099" w:type="dxa"/>
            <w:noWrap/>
            <w:hideMark/>
          </w:tcPr>
          <w:p w14:paraId="202FDD17"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被害人</w:t>
            </w:r>
          </w:p>
        </w:tc>
        <w:tc>
          <w:tcPr>
            <w:tcW w:w="708" w:type="dxa"/>
            <w:noWrap/>
            <w:hideMark/>
          </w:tcPr>
          <w:p w14:paraId="674185AF" w14:textId="77777777" w:rsidR="00015113" w:rsidRPr="002010AF" w:rsidRDefault="00015113" w:rsidP="00A6482C">
            <w:pPr>
              <w:widowControl/>
              <w:rPr>
                <w:rFonts w:ascii="標楷體" w:eastAsia="標楷體" w:hAnsi="標楷體" w:cs="新細明體"/>
                <w:color w:val="000000"/>
                <w:kern w:val="0"/>
              </w:rPr>
            </w:pPr>
          </w:p>
        </w:tc>
        <w:tc>
          <w:tcPr>
            <w:tcW w:w="1134" w:type="dxa"/>
            <w:noWrap/>
          </w:tcPr>
          <w:p w14:paraId="57B26B9B" w14:textId="77777777" w:rsidR="00015113" w:rsidRPr="002010AF" w:rsidRDefault="00015113" w:rsidP="00A6482C">
            <w:pPr>
              <w:widowControl/>
              <w:rPr>
                <w:rFonts w:ascii="標楷體" w:eastAsia="標楷體" w:hAnsi="標楷體" w:cs="新細明體"/>
                <w:color w:val="000000"/>
                <w:kern w:val="0"/>
              </w:rPr>
            </w:pPr>
          </w:p>
        </w:tc>
        <w:tc>
          <w:tcPr>
            <w:tcW w:w="709" w:type="dxa"/>
            <w:noWrap/>
          </w:tcPr>
          <w:p w14:paraId="72D6FBC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420" w:type="dxa"/>
            <w:noWrap/>
          </w:tcPr>
          <w:p w14:paraId="3C855B9B"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調查過程或處理不當</w:t>
            </w:r>
          </w:p>
        </w:tc>
        <w:tc>
          <w:tcPr>
            <w:tcW w:w="1557" w:type="dxa"/>
            <w:noWrap/>
          </w:tcPr>
          <w:p w14:paraId="6318153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公務員對民眾</w:t>
            </w:r>
          </w:p>
        </w:tc>
        <w:tc>
          <w:tcPr>
            <w:tcW w:w="857" w:type="dxa"/>
            <w:noWrap/>
          </w:tcPr>
          <w:p w14:paraId="2DF2928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機關</w:t>
            </w:r>
          </w:p>
        </w:tc>
        <w:tc>
          <w:tcPr>
            <w:tcW w:w="1207" w:type="dxa"/>
            <w:noWrap/>
          </w:tcPr>
          <w:p w14:paraId="4DEC440C"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性騷擾</w:t>
            </w:r>
          </w:p>
        </w:tc>
        <w:tc>
          <w:tcPr>
            <w:tcW w:w="1207" w:type="dxa"/>
            <w:noWrap/>
          </w:tcPr>
          <w:p w14:paraId="7BFB55A0"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不成立</w:t>
            </w:r>
          </w:p>
        </w:tc>
        <w:tc>
          <w:tcPr>
            <w:tcW w:w="840" w:type="dxa"/>
            <w:noWrap/>
          </w:tcPr>
          <w:p w14:paraId="440BCAA9"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拒絕賠償</w:t>
            </w:r>
          </w:p>
        </w:tc>
        <w:tc>
          <w:tcPr>
            <w:tcW w:w="1574" w:type="dxa"/>
            <w:noWrap/>
          </w:tcPr>
          <w:p w14:paraId="136A9A2D" w14:textId="77777777" w:rsidR="00015113" w:rsidRPr="002010AF" w:rsidRDefault="00015113" w:rsidP="00A6482C">
            <w:pPr>
              <w:widowControl/>
              <w:rPr>
                <w:rFonts w:ascii="標楷體" w:eastAsia="標楷體" w:hAnsi="標楷體" w:cs="新細明體"/>
                <w:color w:val="000000"/>
                <w:kern w:val="0"/>
              </w:rPr>
            </w:pPr>
          </w:p>
        </w:tc>
        <w:tc>
          <w:tcPr>
            <w:tcW w:w="1021" w:type="dxa"/>
            <w:noWrap/>
          </w:tcPr>
          <w:p w14:paraId="7BA96F95" w14:textId="77777777" w:rsidR="00015113" w:rsidRPr="002010AF" w:rsidRDefault="00015113" w:rsidP="00A6482C">
            <w:pPr>
              <w:widowControl/>
              <w:rPr>
                <w:rFonts w:ascii="標楷體" w:eastAsia="標楷體" w:hAnsi="標楷體" w:cs="Times New Roman"/>
                <w:kern w:val="0"/>
                <w:sz w:val="20"/>
                <w:szCs w:val="20"/>
              </w:rPr>
            </w:pPr>
          </w:p>
        </w:tc>
        <w:tc>
          <w:tcPr>
            <w:tcW w:w="997" w:type="dxa"/>
            <w:noWrap/>
          </w:tcPr>
          <w:p w14:paraId="2E2AB305"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有</w:t>
            </w:r>
          </w:p>
        </w:tc>
      </w:tr>
      <w:tr w:rsidR="00015113" w:rsidRPr="001176B7" w14:paraId="62083F05" w14:textId="77777777" w:rsidTr="00303730">
        <w:trPr>
          <w:trHeight w:val="324"/>
        </w:trPr>
        <w:tc>
          <w:tcPr>
            <w:tcW w:w="456" w:type="dxa"/>
            <w:noWrap/>
            <w:vAlign w:val="center"/>
          </w:tcPr>
          <w:p w14:paraId="4732166D"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1099" w:type="dxa"/>
            <w:noWrap/>
            <w:hideMark/>
          </w:tcPr>
          <w:p w14:paraId="679331C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w:t>
            </w:r>
          </w:p>
        </w:tc>
        <w:tc>
          <w:tcPr>
            <w:tcW w:w="708" w:type="dxa"/>
            <w:noWrap/>
            <w:hideMark/>
          </w:tcPr>
          <w:p w14:paraId="14E9ABD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6372E77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未成年</w:t>
            </w:r>
          </w:p>
        </w:tc>
        <w:tc>
          <w:tcPr>
            <w:tcW w:w="709" w:type="dxa"/>
            <w:noWrap/>
            <w:hideMark/>
          </w:tcPr>
          <w:p w14:paraId="4A26CA8C"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女</w:t>
            </w:r>
          </w:p>
        </w:tc>
        <w:tc>
          <w:tcPr>
            <w:tcW w:w="1420" w:type="dxa"/>
            <w:noWrap/>
            <w:hideMark/>
          </w:tcPr>
          <w:p w14:paraId="4D354289"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調查過程或處理不當</w:t>
            </w:r>
          </w:p>
        </w:tc>
        <w:tc>
          <w:tcPr>
            <w:tcW w:w="1557" w:type="dxa"/>
            <w:noWrap/>
            <w:hideMark/>
          </w:tcPr>
          <w:p w14:paraId="0F466E45"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公務員對民眾</w:t>
            </w:r>
          </w:p>
        </w:tc>
        <w:tc>
          <w:tcPr>
            <w:tcW w:w="857" w:type="dxa"/>
            <w:noWrap/>
            <w:hideMark/>
          </w:tcPr>
          <w:p w14:paraId="1C010125"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機關</w:t>
            </w:r>
          </w:p>
        </w:tc>
        <w:tc>
          <w:tcPr>
            <w:tcW w:w="1207" w:type="dxa"/>
            <w:noWrap/>
            <w:hideMark/>
          </w:tcPr>
          <w:p w14:paraId="6D95A522"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性騷擾</w:t>
            </w:r>
          </w:p>
        </w:tc>
        <w:tc>
          <w:tcPr>
            <w:tcW w:w="1207" w:type="dxa"/>
            <w:noWrap/>
            <w:hideMark/>
          </w:tcPr>
          <w:p w14:paraId="20ECE82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成立</w:t>
            </w:r>
          </w:p>
        </w:tc>
        <w:tc>
          <w:tcPr>
            <w:tcW w:w="840" w:type="dxa"/>
            <w:noWrap/>
          </w:tcPr>
          <w:p w14:paraId="784747FF"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拒絕賠償</w:t>
            </w:r>
          </w:p>
        </w:tc>
        <w:tc>
          <w:tcPr>
            <w:tcW w:w="1574" w:type="dxa"/>
            <w:noWrap/>
          </w:tcPr>
          <w:p w14:paraId="61A20AD4"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地方法院判決原告敗訴</w:t>
            </w:r>
          </w:p>
        </w:tc>
        <w:tc>
          <w:tcPr>
            <w:tcW w:w="1021" w:type="dxa"/>
            <w:noWrap/>
          </w:tcPr>
          <w:p w14:paraId="2086575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有</w:t>
            </w:r>
          </w:p>
        </w:tc>
        <w:tc>
          <w:tcPr>
            <w:tcW w:w="997" w:type="dxa"/>
            <w:noWrap/>
            <w:hideMark/>
          </w:tcPr>
          <w:p w14:paraId="5CD13C6E" w14:textId="77777777" w:rsidR="00015113" w:rsidRPr="002010AF" w:rsidRDefault="00015113" w:rsidP="00A6482C">
            <w:pPr>
              <w:widowControl/>
              <w:rPr>
                <w:rFonts w:ascii="標楷體" w:eastAsia="標楷體" w:hAnsi="標楷體" w:cs="新細明體"/>
                <w:color w:val="000000"/>
                <w:kern w:val="0"/>
              </w:rPr>
            </w:pPr>
          </w:p>
        </w:tc>
      </w:tr>
      <w:tr w:rsidR="00015113" w:rsidRPr="001176B7" w14:paraId="2872262C" w14:textId="77777777" w:rsidTr="00303730">
        <w:trPr>
          <w:trHeight w:val="324"/>
        </w:trPr>
        <w:tc>
          <w:tcPr>
            <w:tcW w:w="456" w:type="dxa"/>
            <w:noWrap/>
            <w:vAlign w:val="center"/>
          </w:tcPr>
          <w:p w14:paraId="716694B4"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4</w:t>
            </w:r>
          </w:p>
        </w:tc>
        <w:tc>
          <w:tcPr>
            <w:tcW w:w="1099" w:type="dxa"/>
            <w:noWrap/>
            <w:hideMark/>
          </w:tcPr>
          <w:p w14:paraId="0763C131" w14:textId="77777777" w:rsidR="00015113" w:rsidRPr="002010AF" w:rsidRDefault="00015113" w:rsidP="00A6482C">
            <w:pPr>
              <w:widowControl/>
              <w:rPr>
                <w:rFonts w:ascii="標楷體" w:eastAsia="標楷體" w:hAnsi="標楷體" w:cs="新細明體"/>
                <w:color w:val="000000"/>
                <w:kern w:val="0"/>
              </w:rPr>
            </w:pPr>
            <w:r w:rsidRPr="00301B06">
              <w:rPr>
                <w:rFonts w:ascii="標楷體" w:eastAsia="標楷體" w:hAnsi="標楷體" w:cs="新細明體" w:hint="eastAsia"/>
                <w:color w:val="000000"/>
                <w:kern w:val="0"/>
              </w:rPr>
              <w:t>被害人</w:t>
            </w:r>
            <w:r>
              <w:rPr>
                <w:rFonts w:ascii="標楷體" w:eastAsia="標楷體" w:hAnsi="標楷體" w:cs="新細明體" w:hint="eastAsia"/>
                <w:color w:val="000000"/>
                <w:kern w:val="0"/>
              </w:rPr>
              <w:t>之</w:t>
            </w:r>
            <w:r w:rsidRPr="00301B06">
              <w:rPr>
                <w:rFonts w:ascii="標楷體" w:eastAsia="標楷體" w:hAnsi="標楷體" w:cs="新細明體" w:hint="eastAsia"/>
                <w:color w:val="000000"/>
                <w:kern w:val="0"/>
              </w:rPr>
              <w:t>母</w:t>
            </w:r>
          </w:p>
        </w:tc>
        <w:tc>
          <w:tcPr>
            <w:tcW w:w="708" w:type="dxa"/>
            <w:noWrap/>
            <w:hideMark/>
          </w:tcPr>
          <w:p w14:paraId="18F73BC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5FBC5BD7"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未滿14歲</w:t>
            </w:r>
          </w:p>
        </w:tc>
        <w:tc>
          <w:tcPr>
            <w:tcW w:w="709" w:type="dxa"/>
            <w:noWrap/>
            <w:hideMark/>
          </w:tcPr>
          <w:p w14:paraId="581C2331"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420" w:type="dxa"/>
            <w:noWrap/>
            <w:hideMark/>
          </w:tcPr>
          <w:p w14:paraId="4A7EF1B5"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行為人不法執行職務</w:t>
            </w:r>
          </w:p>
        </w:tc>
        <w:tc>
          <w:tcPr>
            <w:tcW w:w="1557" w:type="dxa"/>
            <w:noWrap/>
            <w:hideMark/>
          </w:tcPr>
          <w:p w14:paraId="030B7D9B"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教師對學生</w:t>
            </w:r>
          </w:p>
        </w:tc>
        <w:tc>
          <w:tcPr>
            <w:tcW w:w="857" w:type="dxa"/>
            <w:noWrap/>
            <w:hideMark/>
          </w:tcPr>
          <w:p w14:paraId="6ADE566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學校</w:t>
            </w:r>
          </w:p>
        </w:tc>
        <w:tc>
          <w:tcPr>
            <w:tcW w:w="1207" w:type="dxa"/>
            <w:noWrap/>
            <w:hideMark/>
          </w:tcPr>
          <w:p w14:paraId="6EA5CF56" w14:textId="77777777" w:rsidR="00015113" w:rsidRPr="002010AF" w:rsidRDefault="00015113" w:rsidP="00A6482C">
            <w:pPr>
              <w:widowControl/>
              <w:rPr>
                <w:rFonts w:ascii="標楷體" w:eastAsia="標楷體" w:hAnsi="標楷體" w:cs="新細明體"/>
                <w:color w:val="000000"/>
                <w:kern w:val="0"/>
              </w:rPr>
            </w:pPr>
            <w:proofErr w:type="gramStart"/>
            <w:r w:rsidRPr="002010AF">
              <w:rPr>
                <w:rFonts w:ascii="標楷體" w:eastAsia="標楷體" w:hAnsi="標楷體" w:cs="新細明體" w:hint="eastAsia"/>
                <w:color w:val="000000"/>
                <w:kern w:val="0"/>
              </w:rPr>
              <w:t>性霸凌</w:t>
            </w:r>
            <w:proofErr w:type="gramEnd"/>
          </w:p>
        </w:tc>
        <w:tc>
          <w:tcPr>
            <w:tcW w:w="1207" w:type="dxa"/>
            <w:noWrap/>
            <w:hideMark/>
          </w:tcPr>
          <w:p w14:paraId="6A101B3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不成立，但有其他不當行為</w:t>
            </w:r>
          </w:p>
        </w:tc>
        <w:tc>
          <w:tcPr>
            <w:tcW w:w="840" w:type="dxa"/>
            <w:noWrap/>
            <w:hideMark/>
          </w:tcPr>
          <w:p w14:paraId="07B3AF42"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協議不成立</w:t>
            </w:r>
          </w:p>
        </w:tc>
        <w:tc>
          <w:tcPr>
            <w:tcW w:w="1574" w:type="dxa"/>
            <w:noWrap/>
            <w:hideMark/>
          </w:tcPr>
          <w:p w14:paraId="135732B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地方法院判決原告部分勝訴</w:t>
            </w:r>
          </w:p>
        </w:tc>
        <w:tc>
          <w:tcPr>
            <w:tcW w:w="1021" w:type="dxa"/>
            <w:noWrap/>
            <w:hideMark/>
          </w:tcPr>
          <w:p w14:paraId="1340A797" w14:textId="77777777" w:rsidR="00015113" w:rsidRPr="002010AF" w:rsidRDefault="00015113" w:rsidP="00A6482C">
            <w:pPr>
              <w:widowControl/>
              <w:rPr>
                <w:rFonts w:ascii="標楷體" w:eastAsia="標楷體" w:hAnsi="標楷體" w:cs="新細明體"/>
                <w:color w:val="000000"/>
                <w:kern w:val="0"/>
              </w:rPr>
            </w:pPr>
          </w:p>
        </w:tc>
        <w:tc>
          <w:tcPr>
            <w:tcW w:w="997" w:type="dxa"/>
            <w:noWrap/>
            <w:hideMark/>
          </w:tcPr>
          <w:p w14:paraId="326A05ED" w14:textId="77777777" w:rsidR="00015113" w:rsidRPr="002010AF" w:rsidRDefault="00015113" w:rsidP="00A6482C">
            <w:pPr>
              <w:widowControl/>
              <w:rPr>
                <w:rFonts w:ascii="標楷體" w:eastAsia="標楷體" w:hAnsi="標楷體" w:cs="Times New Roman"/>
                <w:kern w:val="0"/>
                <w:sz w:val="20"/>
                <w:szCs w:val="20"/>
              </w:rPr>
            </w:pPr>
          </w:p>
        </w:tc>
      </w:tr>
      <w:tr w:rsidR="00015113" w:rsidRPr="001176B7" w14:paraId="5EEF91D7" w14:textId="77777777" w:rsidTr="00303730">
        <w:trPr>
          <w:trHeight w:val="324"/>
        </w:trPr>
        <w:tc>
          <w:tcPr>
            <w:tcW w:w="456" w:type="dxa"/>
            <w:noWrap/>
            <w:vAlign w:val="center"/>
          </w:tcPr>
          <w:p w14:paraId="3E2F2DFE"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5</w:t>
            </w:r>
          </w:p>
        </w:tc>
        <w:tc>
          <w:tcPr>
            <w:tcW w:w="1099" w:type="dxa"/>
            <w:noWrap/>
            <w:hideMark/>
          </w:tcPr>
          <w:p w14:paraId="3304321B" w14:textId="77777777" w:rsidR="00015113" w:rsidRPr="002010AF" w:rsidRDefault="00015113" w:rsidP="00A6482C">
            <w:pPr>
              <w:widowControl/>
              <w:rPr>
                <w:rFonts w:ascii="標楷體" w:eastAsia="標楷體" w:hAnsi="標楷體" w:cs="新細明體"/>
                <w:color w:val="000000"/>
                <w:kern w:val="0"/>
              </w:rPr>
            </w:pPr>
            <w:r w:rsidRPr="00301B06">
              <w:rPr>
                <w:rFonts w:ascii="標楷體" w:eastAsia="標楷體" w:hAnsi="標楷體" w:cs="新細明體" w:hint="eastAsia"/>
                <w:color w:val="000000"/>
                <w:kern w:val="0"/>
              </w:rPr>
              <w:t>被害人</w:t>
            </w:r>
            <w:r>
              <w:rPr>
                <w:rFonts w:ascii="標楷體" w:eastAsia="標楷體" w:hAnsi="標楷體" w:cs="新細明體" w:hint="eastAsia"/>
                <w:color w:val="000000"/>
                <w:kern w:val="0"/>
              </w:rPr>
              <w:t>之</w:t>
            </w:r>
            <w:r w:rsidRPr="00301B06">
              <w:rPr>
                <w:rFonts w:ascii="標楷體" w:eastAsia="標楷體" w:hAnsi="標楷體" w:cs="新細明體" w:hint="eastAsia"/>
                <w:color w:val="000000"/>
                <w:kern w:val="0"/>
              </w:rPr>
              <w:t>母</w:t>
            </w:r>
          </w:p>
        </w:tc>
        <w:tc>
          <w:tcPr>
            <w:tcW w:w="708" w:type="dxa"/>
            <w:noWrap/>
            <w:hideMark/>
          </w:tcPr>
          <w:p w14:paraId="4302FE90"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64ECC27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未滿14歲</w:t>
            </w:r>
          </w:p>
        </w:tc>
        <w:tc>
          <w:tcPr>
            <w:tcW w:w="709" w:type="dxa"/>
            <w:noWrap/>
            <w:hideMark/>
          </w:tcPr>
          <w:p w14:paraId="69ED152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420" w:type="dxa"/>
            <w:noWrap/>
            <w:hideMark/>
          </w:tcPr>
          <w:p w14:paraId="4750CB9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行為人不法執行職務</w:t>
            </w:r>
          </w:p>
        </w:tc>
        <w:tc>
          <w:tcPr>
            <w:tcW w:w="1557" w:type="dxa"/>
            <w:noWrap/>
            <w:hideMark/>
          </w:tcPr>
          <w:p w14:paraId="01A00F1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教師對學生</w:t>
            </w:r>
          </w:p>
        </w:tc>
        <w:tc>
          <w:tcPr>
            <w:tcW w:w="857" w:type="dxa"/>
            <w:noWrap/>
            <w:hideMark/>
          </w:tcPr>
          <w:p w14:paraId="746FC30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學校</w:t>
            </w:r>
          </w:p>
        </w:tc>
        <w:tc>
          <w:tcPr>
            <w:tcW w:w="1207" w:type="dxa"/>
            <w:noWrap/>
            <w:hideMark/>
          </w:tcPr>
          <w:p w14:paraId="7E994C3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性騷擾及</w:t>
            </w:r>
            <w:proofErr w:type="gramStart"/>
            <w:r w:rsidRPr="002010AF">
              <w:rPr>
                <w:rFonts w:ascii="標楷體" w:eastAsia="標楷體" w:hAnsi="標楷體" w:cs="新細明體" w:hint="eastAsia"/>
                <w:color w:val="000000"/>
                <w:kern w:val="0"/>
              </w:rPr>
              <w:t>性霸凌</w:t>
            </w:r>
            <w:proofErr w:type="gramEnd"/>
          </w:p>
        </w:tc>
        <w:tc>
          <w:tcPr>
            <w:tcW w:w="1207" w:type="dxa"/>
            <w:noWrap/>
            <w:hideMark/>
          </w:tcPr>
          <w:p w14:paraId="5A0EB92B"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成立</w:t>
            </w:r>
          </w:p>
        </w:tc>
        <w:tc>
          <w:tcPr>
            <w:tcW w:w="840" w:type="dxa"/>
            <w:noWrap/>
          </w:tcPr>
          <w:p w14:paraId="6B6C6942"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協議不成立</w:t>
            </w:r>
          </w:p>
        </w:tc>
        <w:tc>
          <w:tcPr>
            <w:tcW w:w="1574" w:type="dxa"/>
            <w:noWrap/>
          </w:tcPr>
          <w:p w14:paraId="390EFBD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訴訟</w:t>
            </w:r>
            <w:proofErr w:type="gramStart"/>
            <w:r w:rsidRPr="002010AF">
              <w:rPr>
                <w:rFonts w:ascii="標楷體" w:eastAsia="標楷體" w:hAnsi="標楷體" w:cs="新細明體" w:hint="eastAsia"/>
                <w:color w:val="000000"/>
                <w:kern w:val="0"/>
              </w:rPr>
              <w:t>繫</w:t>
            </w:r>
            <w:proofErr w:type="gramEnd"/>
            <w:r w:rsidRPr="002010AF">
              <w:rPr>
                <w:rFonts w:ascii="標楷體" w:eastAsia="標楷體" w:hAnsi="標楷體" w:cs="新細明體" w:hint="eastAsia"/>
                <w:color w:val="000000"/>
                <w:kern w:val="0"/>
              </w:rPr>
              <w:t>屬中</w:t>
            </w:r>
          </w:p>
        </w:tc>
        <w:tc>
          <w:tcPr>
            <w:tcW w:w="1021" w:type="dxa"/>
            <w:noWrap/>
          </w:tcPr>
          <w:p w14:paraId="0EE06969" w14:textId="77777777" w:rsidR="00015113" w:rsidRPr="002010AF" w:rsidRDefault="00015113" w:rsidP="00A6482C">
            <w:pPr>
              <w:widowControl/>
              <w:rPr>
                <w:rFonts w:ascii="標楷體" w:eastAsia="標楷體" w:hAnsi="標楷體" w:cs="新細明體"/>
                <w:color w:val="000000"/>
                <w:kern w:val="0"/>
              </w:rPr>
            </w:pPr>
          </w:p>
        </w:tc>
        <w:tc>
          <w:tcPr>
            <w:tcW w:w="997" w:type="dxa"/>
            <w:noWrap/>
          </w:tcPr>
          <w:p w14:paraId="52388FC0" w14:textId="77777777" w:rsidR="00015113" w:rsidRPr="002010AF" w:rsidRDefault="00015113" w:rsidP="00A6482C">
            <w:pPr>
              <w:widowControl/>
              <w:rPr>
                <w:rFonts w:ascii="標楷體" w:eastAsia="標楷體" w:hAnsi="標楷體" w:cs="新細明體"/>
                <w:color w:val="000000"/>
                <w:kern w:val="0"/>
              </w:rPr>
            </w:pPr>
          </w:p>
        </w:tc>
      </w:tr>
      <w:tr w:rsidR="00015113" w:rsidRPr="001176B7" w14:paraId="1E39F070" w14:textId="77777777" w:rsidTr="00303730">
        <w:trPr>
          <w:trHeight w:val="324"/>
        </w:trPr>
        <w:tc>
          <w:tcPr>
            <w:tcW w:w="456" w:type="dxa"/>
            <w:noWrap/>
            <w:vAlign w:val="center"/>
          </w:tcPr>
          <w:p w14:paraId="27BABDD3"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1099" w:type="dxa"/>
            <w:noWrap/>
            <w:hideMark/>
          </w:tcPr>
          <w:p w14:paraId="4210FD87"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w:t>
            </w:r>
          </w:p>
        </w:tc>
        <w:tc>
          <w:tcPr>
            <w:tcW w:w="708" w:type="dxa"/>
            <w:noWrap/>
            <w:hideMark/>
          </w:tcPr>
          <w:p w14:paraId="20DAEE8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09FD534A"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未滿14歲</w:t>
            </w:r>
          </w:p>
        </w:tc>
        <w:tc>
          <w:tcPr>
            <w:tcW w:w="709" w:type="dxa"/>
            <w:noWrap/>
            <w:hideMark/>
          </w:tcPr>
          <w:p w14:paraId="5670F1BB"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420" w:type="dxa"/>
            <w:noWrap/>
            <w:hideMark/>
          </w:tcPr>
          <w:p w14:paraId="45F68772"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行為人遭機關懲處</w:t>
            </w:r>
          </w:p>
        </w:tc>
        <w:tc>
          <w:tcPr>
            <w:tcW w:w="1557" w:type="dxa"/>
            <w:noWrap/>
            <w:hideMark/>
          </w:tcPr>
          <w:p w14:paraId="1DB70B90"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教師對學生</w:t>
            </w:r>
          </w:p>
        </w:tc>
        <w:tc>
          <w:tcPr>
            <w:tcW w:w="857" w:type="dxa"/>
            <w:noWrap/>
            <w:hideMark/>
          </w:tcPr>
          <w:p w14:paraId="1243636A"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學校</w:t>
            </w:r>
          </w:p>
        </w:tc>
        <w:tc>
          <w:tcPr>
            <w:tcW w:w="1207" w:type="dxa"/>
            <w:noWrap/>
            <w:hideMark/>
          </w:tcPr>
          <w:p w14:paraId="3E4993A7"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性侵害</w:t>
            </w:r>
          </w:p>
        </w:tc>
        <w:tc>
          <w:tcPr>
            <w:tcW w:w="1207" w:type="dxa"/>
            <w:noWrap/>
            <w:hideMark/>
          </w:tcPr>
          <w:p w14:paraId="27B245B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成立</w:t>
            </w:r>
          </w:p>
        </w:tc>
        <w:tc>
          <w:tcPr>
            <w:tcW w:w="840" w:type="dxa"/>
            <w:noWrap/>
          </w:tcPr>
          <w:p w14:paraId="2CFDBE92"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拒絕賠償</w:t>
            </w:r>
          </w:p>
        </w:tc>
        <w:tc>
          <w:tcPr>
            <w:tcW w:w="1574" w:type="dxa"/>
            <w:noWrap/>
          </w:tcPr>
          <w:p w14:paraId="1D84AC5A" w14:textId="77777777" w:rsidR="00015113" w:rsidRPr="002010AF" w:rsidRDefault="00015113" w:rsidP="00A6482C">
            <w:pPr>
              <w:widowControl/>
              <w:rPr>
                <w:rFonts w:ascii="標楷體" w:eastAsia="標楷體" w:hAnsi="標楷體" w:cs="新細明體"/>
                <w:color w:val="000000"/>
                <w:kern w:val="0"/>
              </w:rPr>
            </w:pPr>
          </w:p>
        </w:tc>
        <w:tc>
          <w:tcPr>
            <w:tcW w:w="1021" w:type="dxa"/>
            <w:noWrap/>
            <w:hideMark/>
          </w:tcPr>
          <w:p w14:paraId="05D4ACD9"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有</w:t>
            </w:r>
          </w:p>
        </w:tc>
        <w:tc>
          <w:tcPr>
            <w:tcW w:w="997" w:type="dxa"/>
            <w:noWrap/>
            <w:hideMark/>
          </w:tcPr>
          <w:p w14:paraId="4AF7C47E" w14:textId="77777777" w:rsidR="00015113" w:rsidRPr="002010AF" w:rsidRDefault="00015113" w:rsidP="00A6482C">
            <w:pPr>
              <w:widowControl/>
              <w:rPr>
                <w:rFonts w:ascii="標楷體" w:eastAsia="標楷體" w:hAnsi="標楷體" w:cs="新細明體"/>
                <w:color w:val="000000"/>
                <w:kern w:val="0"/>
              </w:rPr>
            </w:pPr>
          </w:p>
        </w:tc>
      </w:tr>
      <w:tr w:rsidR="00015113" w:rsidRPr="001176B7" w14:paraId="572F7ECB" w14:textId="77777777" w:rsidTr="00303730">
        <w:trPr>
          <w:trHeight w:val="324"/>
        </w:trPr>
        <w:tc>
          <w:tcPr>
            <w:tcW w:w="456" w:type="dxa"/>
            <w:noWrap/>
            <w:vAlign w:val="center"/>
          </w:tcPr>
          <w:p w14:paraId="2FC9CA49"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7</w:t>
            </w:r>
          </w:p>
        </w:tc>
        <w:tc>
          <w:tcPr>
            <w:tcW w:w="1099" w:type="dxa"/>
            <w:noWrap/>
            <w:hideMark/>
          </w:tcPr>
          <w:p w14:paraId="6B6224F0"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w:t>
            </w:r>
          </w:p>
        </w:tc>
        <w:tc>
          <w:tcPr>
            <w:tcW w:w="708" w:type="dxa"/>
            <w:noWrap/>
            <w:hideMark/>
          </w:tcPr>
          <w:p w14:paraId="2F3003E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60125A01"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未滿14歲</w:t>
            </w:r>
          </w:p>
        </w:tc>
        <w:tc>
          <w:tcPr>
            <w:tcW w:w="709" w:type="dxa"/>
            <w:noWrap/>
            <w:hideMark/>
          </w:tcPr>
          <w:p w14:paraId="3B13D532"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女</w:t>
            </w:r>
          </w:p>
        </w:tc>
        <w:tc>
          <w:tcPr>
            <w:tcW w:w="1420" w:type="dxa"/>
            <w:noWrap/>
            <w:hideMark/>
          </w:tcPr>
          <w:p w14:paraId="02E6AA2C"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行為人遭機關懲處</w:t>
            </w:r>
          </w:p>
        </w:tc>
        <w:tc>
          <w:tcPr>
            <w:tcW w:w="1557" w:type="dxa"/>
            <w:noWrap/>
            <w:hideMark/>
          </w:tcPr>
          <w:p w14:paraId="661B06A4"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教師對學生</w:t>
            </w:r>
          </w:p>
        </w:tc>
        <w:tc>
          <w:tcPr>
            <w:tcW w:w="857" w:type="dxa"/>
            <w:noWrap/>
            <w:hideMark/>
          </w:tcPr>
          <w:p w14:paraId="35DAA550"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學校</w:t>
            </w:r>
          </w:p>
        </w:tc>
        <w:tc>
          <w:tcPr>
            <w:tcW w:w="1207" w:type="dxa"/>
            <w:noWrap/>
            <w:hideMark/>
          </w:tcPr>
          <w:p w14:paraId="2004AF7A"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性侵害</w:t>
            </w:r>
          </w:p>
        </w:tc>
        <w:tc>
          <w:tcPr>
            <w:tcW w:w="1207" w:type="dxa"/>
            <w:noWrap/>
            <w:hideMark/>
          </w:tcPr>
          <w:p w14:paraId="6ECCA4BF"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成立</w:t>
            </w:r>
          </w:p>
        </w:tc>
        <w:tc>
          <w:tcPr>
            <w:tcW w:w="840" w:type="dxa"/>
            <w:noWrap/>
          </w:tcPr>
          <w:p w14:paraId="16A8791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拒絕賠償</w:t>
            </w:r>
          </w:p>
        </w:tc>
        <w:tc>
          <w:tcPr>
            <w:tcW w:w="1574" w:type="dxa"/>
            <w:noWrap/>
          </w:tcPr>
          <w:p w14:paraId="583A10DD" w14:textId="77777777" w:rsidR="00015113" w:rsidRPr="002010AF" w:rsidRDefault="00015113" w:rsidP="00A6482C">
            <w:pPr>
              <w:widowControl/>
              <w:rPr>
                <w:rFonts w:ascii="標楷體" w:eastAsia="標楷體" w:hAnsi="標楷體" w:cs="新細明體"/>
                <w:color w:val="000000"/>
                <w:kern w:val="0"/>
              </w:rPr>
            </w:pPr>
          </w:p>
        </w:tc>
        <w:tc>
          <w:tcPr>
            <w:tcW w:w="1021" w:type="dxa"/>
            <w:noWrap/>
            <w:hideMark/>
          </w:tcPr>
          <w:p w14:paraId="46A5E040"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有</w:t>
            </w:r>
          </w:p>
        </w:tc>
        <w:tc>
          <w:tcPr>
            <w:tcW w:w="997" w:type="dxa"/>
            <w:noWrap/>
            <w:hideMark/>
          </w:tcPr>
          <w:p w14:paraId="6498DBA7" w14:textId="77777777" w:rsidR="00015113" w:rsidRPr="002010AF" w:rsidRDefault="00015113" w:rsidP="00A6482C">
            <w:pPr>
              <w:widowControl/>
              <w:rPr>
                <w:rFonts w:ascii="標楷體" w:eastAsia="標楷體" w:hAnsi="標楷體" w:cs="新細明體"/>
                <w:color w:val="000000"/>
                <w:kern w:val="0"/>
              </w:rPr>
            </w:pPr>
          </w:p>
        </w:tc>
      </w:tr>
      <w:tr w:rsidR="00015113" w:rsidRPr="001176B7" w14:paraId="5816038A" w14:textId="77777777" w:rsidTr="00303730">
        <w:trPr>
          <w:trHeight w:val="324"/>
        </w:trPr>
        <w:tc>
          <w:tcPr>
            <w:tcW w:w="456" w:type="dxa"/>
            <w:noWrap/>
            <w:vAlign w:val="center"/>
          </w:tcPr>
          <w:p w14:paraId="54200584"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8</w:t>
            </w:r>
          </w:p>
        </w:tc>
        <w:tc>
          <w:tcPr>
            <w:tcW w:w="1099" w:type="dxa"/>
            <w:noWrap/>
            <w:hideMark/>
          </w:tcPr>
          <w:p w14:paraId="6B8075A3" w14:textId="77777777" w:rsidR="00015113" w:rsidRPr="002010AF" w:rsidRDefault="00015113" w:rsidP="00A6482C">
            <w:pPr>
              <w:widowControl/>
              <w:rPr>
                <w:rFonts w:ascii="標楷體" w:eastAsia="標楷體" w:hAnsi="標楷體" w:cs="新細明體"/>
                <w:color w:val="000000"/>
                <w:kern w:val="0"/>
              </w:rPr>
            </w:pPr>
            <w:r w:rsidRPr="00301B06">
              <w:rPr>
                <w:rFonts w:ascii="標楷體" w:eastAsia="標楷體" w:hAnsi="標楷體" w:cs="新細明體" w:hint="eastAsia"/>
                <w:color w:val="000000"/>
                <w:kern w:val="0"/>
              </w:rPr>
              <w:t>被害人之父母</w:t>
            </w:r>
          </w:p>
        </w:tc>
        <w:tc>
          <w:tcPr>
            <w:tcW w:w="708" w:type="dxa"/>
            <w:noWrap/>
            <w:hideMark/>
          </w:tcPr>
          <w:p w14:paraId="3A2DE281"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0D57451C"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未滿14歲</w:t>
            </w:r>
          </w:p>
        </w:tc>
        <w:tc>
          <w:tcPr>
            <w:tcW w:w="709" w:type="dxa"/>
            <w:noWrap/>
            <w:hideMark/>
          </w:tcPr>
          <w:p w14:paraId="6802F945"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女</w:t>
            </w:r>
          </w:p>
        </w:tc>
        <w:tc>
          <w:tcPr>
            <w:tcW w:w="1420" w:type="dxa"/>
            <w:noWrap/>
            <w:hideMark/>
          </w:tcPr>
          <w:p w14:paraId="5521AB7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公務員故意或過失致性</w:t>
            </w:r>
            <w:r w:rsidRPr="002010AF">
              <w:rPr>
                <w:rFonts w:ascii="標楷體" w:eastAsia="標楷體" w:hAnsi="標楷體" w:cs="新細明體" w:hint="eastAsia"/>
                <w:color w:val="000000"/>
                <w:kern w:val="0"/>
              </w:rPr>
              <w:lastRenderedPageBreak/>
              <w:t>別暴力案件發生</w:t>
            </w:r>
          </w:p>
        </w:tc>
        <w:tc>
          <w:tcPr>
            <w:tcW w:w="1557" w:type="dxa"/>
            <w:noWrap/>
            <w:hideMark/>
          </w:tcPr>
          <w:p w14:paraId="07BB3D6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lastRenderedPageBreak/>
              <w:t>學生對學生</w:t>
            </w:r>
          </w:p>
        </w:tc>
        <w:tc>
          <w:tcPr>
            <w:tcW w:w="857" w:type="dxa"/>
            <w:noWrap/>
            <w:hideMark/>
          </w:tcPr>
          <w:p w14:paraId="352EB3F1"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學校</w:t>
            </w:r>
          </w:p>
        </w:tc>
        <w:tc>
          <w:tcPr>
            <w:tcW w:w="1207" w:type="dxa"/>
            <w:noWrap/>
            <w:hideMark/>
          </w:tcPr>
          <w:p w14:paraId="5BB9E822" w14:textId="77777777" w:rsidR="00015113" w:rsidRPr="002010AF" w:rsidRDefault="00015113" w:rsidP="00A6482C">
            <w:pPr>
              <w:widowControl/>
              <w:rPr>
                <w:rFonts w:ascii="標楷體" w:eastAsia="標楷體" w:hAnsi="標楷體" w:cs="新細明體"/>
                <w:color w:val="000000"/>
                <w:kern w:val="0"/>
              </w:rPr>
            </w:pPr>
            <w:proofErr w:type="gramStart"/>
            <w:r w:rsidRPr="002010AF">
              <w:rPr>
                <w:rFonts w:ascii="標楷體" w:eastAsia="標楷體" w:hAnsi="標楷體" w:cs="新細明體" w:hint="eastAsia"/>
                <w:color w:val="000000"/>
                <w:kern w:val="0"/>
              </w:rPr>
              <w:t>性霸凌</w:t>
            </w:r>
            <w:proofErr w:type="gramEnd"/>
          </w:p>
        </w:tc>
        <w:tc>
          <w:tcPr>
            <w:tcW w:w="1207" w:type="dxa"/>
            <w:noWrap/>
            <w:hideMark/>
          </w:tcPr>
          <w:p w14:paraId="060B5A6A"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不成立</w:t>
            </w:r>
          </w:p>
        </w:tc>
        <w:tc>
          <w:tcPr>
            <w:tcW w:w="840" w:type="dxa"/>
            <w:noWrap/>
          </w:tcPr>
          <w:p w14:paraId="78704754"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拒絕賠償</w:t>
            </w:r>
          </w:p>
        </w:tc>
        <w:tc>
          <w:tcPr>
            <w:tcW w:w="1574" w:type="dxa"/>
            <w:noWrap/>
          </w:tcPr>
          <w:p w14:paraId="066D5DD3" w14:textId="77777777" w:rsidR="00015113" w:rsidRPr="002010AF" w:rsidRDefault="00015113" w:rsidP="00A6482C">
            <w:pPr>
              <w:widowControl/>
              <w:rPr>
                <w:rFonts w:ascii="標楷體" w:eastAsia="標楷體" w:hAnsi="標楷體" w:cs="新細明體"/>
                <w:color w:val="000000"/>
                <w:kern w:val="0"/>
              </w:rPr>
            </w:pPr>
          </w:p>
        </w:tc>
        <w:tc>
          <w:tcPr>
            <w:tcW w:w="1021" w:type="dxa"/>
            <w:noWrap/>
            <w:hideMark/>
          </w:tcPr>
          <w:p w14:paraId="2CB52851" w14:textId="77777777" w:rsidR="00015113" w:rsidRPr="002010AF" w:rsidRDefault="00015113" w:rsidP="00A6482C">
            <w:pPr>
              <w:widowControl/>
              <w:rPr>
                <w:rFonts w:ascii="標楷體" w:eastAsia="標楷體" w:hAnsi="標楷體" w:cs="新細明體"/>
                <w:color w:val="000000"/>
                <w:kern w:val="0"/>
              </w:rPr>
            </w:pPr>
          </w:p>
        </w:tc>
        <w:tc>
          <w:tcPr>
            <w:tcW w:w="997" w:type="dxa"/>
            <w:noWrap/>
            <w:hideMark/>
          </w:tcPr>
          <w:p w14:paraId="3CD87BE6" w14:textId="77777777" w:rsidR="00015113" w:rsidRPr="002010AF" w:rsidRDefault="00015113" w:rsidP="00A6482C">
            <w:pPr>
              <w:widowControl/>
              <w:rPr>
                <w:rFonts w:ascii="標楷體" w:eastAsia="標楷體" w:hAnsi="標楷體" w:cs="Times New Roman"/>
                <w:kern w:val="0"/>
                <w:sz w:val="20"/>
                <w:szCs w:val="20"/>
              </w:rPr>
            </w:pPr>
          </w:p>
        </w:tc>
      </w:tr>
      <w:tr w:rsidR="00015113" w:rsidRPr="001176B7" w14:paraId="5887DE0E" w14:textId="77777777" w:rsidTr="00303730">
        <w:trPr>
          <w:trHeight w:val="324"/>
        </w:trPr>
        <w:tc>
          <w:tcPr>
            <w:tcW w:w="456" w:type="dxa"/>
            <w:noWrap/>
            <w:vAlign w:val="center"/>
          </w:tcPr>
          <w:p w14:paraId="5F92AEEE"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9</w:t>
            </w:r>
          </w:p>
        </w:tc>
        <w:tc>
          <w:tcPr>
            <w:tcW w:w="1099" w:type="dxa"/>
            <w:noWrap/>
            <w:hideMark/>
          </w:tcPr>
          <w:p w14:paraId="194DCC96" w14:textId="77777777" w:rsidR="00015113" w:rsidRPr="002010AF" w:rsidRDefault="00015113" w:rsidP="00A6482C">
            <w:pPr>
              <w:widowControl/>
              <w:rPr>
                <w:rFonts w:ascii="標楷體" w:eastAsia="標楷體" w:hAnsi="標楷體" w:cs="新細明體"/>
                <w:color w:val="000000"/>
                <w:kern w:val="0"/>
              </w:rPr>
            </w:pPr>
            <w:r w:rsidRPr="00301B06">
              <w:rPr>
                <w:rFonts w:ascii="標楷體" w:eastAsia="標楷體" w:hAnsi="標楷體" w:cs="新細明體" w:hint="eastAsia"/>
                <w:color w:val="000000"/>
                <w:kern w:val="0"/>
              </w:rPr>
              <w:t>被害人之父母</w:t>
            </w:r>
          </w:p>
        </w:tc>
        <w:tc>
          <w:tcPr>
            <w:tcW w:w="708" w:type="dxa"/>
            <w:noWrap/>
            <w:hideMark/>
          </w:tcPr>
          <w:p w14:paraId="58AE4E16"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134" w:type="dxa"/>
            <w:noWrap/>
            <w:hideMark/>
          </w:tcPr>
          <w:p w14:paraId="31F699A7"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未滿14歲</w:t>
            </w:r>
          </w:p>
        </w:tc>
        <w:tc>
          <w:tcPr>
            <w:tcW w:w="709" w:type="dxa"/>
            <w:noWrap/>
            <w:hideMark/>
          </w:tcPr>
          <w:p w14:paraId="5C717894"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420" w:type="dxa"/>
            <w:noWrap/>
            <w:hideMark/>
          </w:tcPr>
          <w:p w14:paraId="082BA89A"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行為人不法執行職務</w:t>
            </w:r>
          </w:p>
        </w:tc>
        <w:tc>
          <w:tcPr>
            <w:tcW w:w="1557" w:type="dxa"/>
            <w:noWrap/>
            <w:hideMark/>
          </w:tcPr>
          <w:p w14:paraId="0DEFBF77"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教師對學生</w:t>
            </w:r>
          </w:p>
        </w:tc>
        <w:tc>
          <w:tcPr>
            <w:tcW w:w="857" w:type="dxa"/>
            <w:noWrap/>
            <w:hideMark/>
          </w:tcPr>
          <w:p w14:paraId="4190EF74"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學校</w:t>
            </w:r>
          </w:p>
        </w:tc>
        <w:tc>
          <w:tcPr>
            <w:tcW w:w="1207" w:type="dxa"/>
            <w:noWrap/>
            <w:hideMark/>
          </w:tcPr>
          <w:p w14:paraId="703F09F5"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性侵害</w:t>
            </w:r>
          </w:p>
        </w:tc>
        <w:tc>
          <w:tcPr>
            <w:tcW w:w="1207" w:type="dxa"/>
            <w:noWrap/>
            <w:hideMark/>
          </w:tcPr>
          <w:p w14:paraId="3D6DED85"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成立</w:t>
            </w:r>
          </w:p>
        </w:tc>
        <w:tc>
          <w:tcPr>
            <w:tcW w:w="840" w:type="dxa"/>
            <w:noWrap/>
          </w:tcPr>
          <w:p w14:paraId="0B0780CB"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協議不成立</w:t>
            </w:r>
          </w:p>
        </w:tc>
        <w:tc>
          <w:tcPr>
            <w:tcW w:w="1574" w:type="dxa"/>
            <w:noWrap/>
          </w:tcPr>
          <w:p w14:paraId="39E492C9" w14:textId="77777777" w:rsidR="00015113" w:rsidRPr="002010AF" w:rsidRDefault="00015113" w:rsidP="00A6482C">
            <w:pPr>
              <w:widowControl/>
              <w:rPr>
                <w:rFonts w:ascii="標楷體" w:eastAsia="標楷體" w:hAnsi="標楷體" w:cs="新細明體"/>
                <w:color w:val="000000"/>
                <w:kern w:val="0"/>
              </w:rPr>
            </w:pPr>
          </w:p>
        </w:tc>
        <w:tc>
          <w:tcPr>
            <w:tcW w:w="1021" w:type="dxa"/>
            <w:noWrap/>
            <w:hideMark/>
          </w:tcPr>
          <w:p w14:paraId="10DFF4DA" w14:textId="77777777" w:rsidR="00015113" w:rsidRPr="002010AF" w:rsidRDefault="00015113" w:rsidP="00A6482C">
            <w:pPr>
              <w:widowControl/>
              <w:rPr>
                <w:rFonts w:ascii="標楷體" w:eastAsia="標楷體" w:hAnsi="標楷體" w:cs="新細明體"/>
                <w:color w:val="000000"/>
                <w:kern w:val="0"/>
              </w:rPr>
            </w:pPr>
          </w:p>
        </w:tc>
        <w:tc>
          <w:tcPr>
            <w:tcW w:w="997" w:type="dxa"/>
            <w:noWrap/>
            <w:hideMark/>
          </w:tcPr>
          <w:p w14:paraId="7AC0FBC6" w14:textId="77777777" w:rsidR="00015113" w:rsidRPr="002010AF" w:rsidRDefault="00015113" w:rsidP="00A6482C">
            <w:pPr>
              <w:widowControl/>
              <w:rPr>
                <w:rFonts w:ascii="標楷體" w:eastAsia="標楷體" w:hAnsi="標楷體" w:cs="Times New Roman"/>
                <w:kern w:val="0"/>
                <w:sz w:val="20"/>
                <w:szCs w:val="20"/>
              </w:rPr>
            </w:pPr>
          </w:p>
        </w:tc>
      </w:tr>
      <w:tr w:rsidR="00015113" w:rsidRPr="001176B7" w14:paraId="5FB2AADA" w14:textId="77777777" w:rsidTr="00303730">
        <w:trPr>
          <w:trHeight w:val="532"/>
        </w:trPr>
        <w:tc>
          <w:tcPr>
            <w:tcW w:w="456" w:type="dxa"/>
            <w:vMerge w:val="restart"/>
            <w:noWrap/>
            <w:vAlign w:val="center"/>
          </w:tcPr>
          <w:p w14:paraId="6F5E9421" w14:textId="77777777" w:rsidR="00015113" w:rsidRPr="002010AF" w:rsidRDefault="00015113" w:rsidP="0030373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w:t>
            </w:r>
          </w:p>
        </w:tc>
        <w:tc>
          <w:tcPr>
            <w:tcW w:w="1099" w:type="dxa"/>
            <w:vMerge w:val="restart"/>
            <w:noWrap/>
            <w:hideMark/>
          </w:tcPr>
          <w:p w14:paraId="1A65960D" w14:textId="77777777" w:rsidR="00015113" w:rsidRPr="002010AF" w:rsidRDefault="00015113" w:rsidP="00A6482C">
            <w:pPr>
              <w:widowControl/>
              <w:rPr>
                <w:rFonts w:ascii="標楷體" w:eastAsia="標楷體" w:hAnsi="標楷體" w:cs="新細明體"/>
                <w:color w:val="000000"/>
                <w:kern w:val="0"/>
              </w:rPr>
            </w:pPr>
            <w:r w:rsidRPr="00301B06">
              <w:rPr>
                <w:rFonts w:ascii="標楷體" w:eastAsia="標楷體" w:hAnsi="標楷體" w:cs="新細明體" w:hint="eastAsia"/>
                <w:color w:val="000000"/>
                <w:kern w:val="0"/>
              </w:rPr>
              <w:t>被害人之父母</w:t>
            </w:r>
          </w:p>
        </w:tc>
        <w:tc>
          <w:tcPr>
            <w:tcW w:w="708" w:type="dxa"/>
            <w:noWrap/>
          </w:tcPr>
          <w:p w14:paraId="463A1F1A" w14:textId="77777777" w:rsidR="00015113" w:rsidRPr="002010AF" w:rsidRDefault="00015113" w:rsidP="00A6482C">
            <w:pPr>
              <w:widowControl/>
              <w:rPr>
                <w:rFonts w:ascii="標楷體" w:eastAsia="標楷體" w:hAnsi="標楷體" w:cs="新細明體"/>
                <w:color w:val="000000"/>
                <w:kern w:val="0"/>
              </w:rPr>
            </w:pPr>
          </w:p>
        </w:tc>
        <w:tc>
          <w:tcPr>
            <w:tcW w:w="1134" w:type="dxa"/>
            <w:noWrap/>
          </w:tcPr>
          <w:p w14:paraId="3EC812FE"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未滿16歲</w:t>
            </w:r>
          </w:p>
        </w:tc>
        <w:tc>
          <w:tcPr>
            <w:tcW w:w="709" w:type="dxa"/>
            <w:noWrap/>
          </w:tcPr>
          <w:p w14:paraId="1C8D7F5B"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男</w:t>
            </w:r>
          </w:p>
        </w:tc>
        <w:tc>
          <w:tcPr>
            <w:tcW w:w="1420" w:type="dxa"/>
            <w:vMerge w:val="restart"/>
            <w:noWrap/>
          </w:tcPr>
          <w:p w14:paraId="7B5B7ACE"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調查過程或處理不當</w:t>
            </w:r>
          </w:p>
        </w:tc>
        <w:tc>
          <w:tcPr>
            <w:tcW w:w="1557" w:type="dxa"/>
            <w:vMerge w:val="restart"/>
            <w:noWrap/>
          </w:tcPr>
          <w:p w14:paraId="7F832C3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教師對學生</w:t>
            </w:r>
          </w:p>
        </w:tc>
        <w:tc>
          <w:tcPr>
            <w:tcW w:w="857" w:type="dxa"/>
            <w:vMerge w:val="restart"/>
            <w:noWrap/>
          </w:tcPr>
          <w:p w14:paraId="664526A8"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學校</w:t>
            </w:r>
          </w:p>
        </w:tc>
        <w:tc>
          <w:tcPr>
            <w:tcW w:w="1207" w:type="dxa"/>
            <w:vMerge w:val="restart"/>
            <w:noWrap/>
          </w:tcPr>
          <w:p w14:paraId="05E8D6AC" w14:textId="77777777" w:rsidR="00015113" w:rsidRPr="002010AF" w:rsidRDefault="00015113" w:rsidP="00A6482C">
            <w:pPr>
              <w:widowControl/>
              <w:rPr>
                <w:rFonts w:ascii="標楷體" w:eastAsia="標楷體" w:hAnsi="標楷體" w:cs="新細明體"/>
                <w:color w:val="000000"/>
                <w:kern w:val="0"/>
              </w:rPr>
            </w:pPr>
            <w:proofErr w:type="gramStart"/>
            <w:r w:rsidRPr="002010AF">
              <w:rPr>
                <w:rFonts w:ascii="標楷體" w:eastAsia="標楷體" w:hAnsi="標楷體" w:cs="新細明體" w:hint="eastAsia"/>
                <w:color w:val="000000"/>
                <w:kern w:val="0"/>
              </w:rPr>
              <w:t>性霸凌</w:t>
            </w:r>
            <w:proofErr w:type="gramEnd"/>
          </w:p>
        </w:tc>
        <w:tc>
          <w:tcPr>
            <w:tcW w:w="1207" w:type="dxa"/>
            <w:vMerge w:val="restart"/>
            <w:noWrap/>
          </w:tcPr>
          <w:p w14:paraId="50803D94"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不成立</w:t>
            </w:r>
          </w:p>
        </w:tc>
        <w:tc>
          <w:tcPr>
            <w:tcW w:w="840" w:type="dxa"/>
            <w:vMerge w:val="restart"/>
            <w:noWrap/>
          </w:tcPr>
          <w:p w14:paraId="10FC20D3" w14:textId="77777777" w:rsidR="00015113" w:rsidRPr="002010AF" w:rsidRDefault="00015113" w:rsidP="00A6482C">
            <w:pPr>
              <w:widowControl/>
              <w:rPr>
                <w:rFonts w:ascii="標楷體" w:eastAsia="標楷體" w:hAnsi="標楷體" w:cs="新細明體"/>
                <w:color w:val="000000"/>
                <w:kern w:val="0"/>
              </w:rPr>
            </w:pPr>
            <w:proofErr w:type="gramStart"/>
            <w:r w:rsidRPr="002010AF">
              <w:rPr>
                <w:rFonts w:ascii="標楷體" w:eastAsia="標楷體" w:hAnsi="標楷體" w:cs="新細明體" w:hint="eastAsia"/>
                <w:color w:val="000000"/>
                <w:kern w:val="0"/>
              </w:rPr>
              <w:t>逕</w:t>
            </w:r>
            <w:proofErr w:type="gramEnd"/>
            <w:r w:rsidRPr="002010AF">
              <w:rPr>
                <w:rFonts w:ascii="標楷體" w:eastAsia="標楷體" w:hAnsi="標楷體" w:cs="新細明體" w:hint="eastAsia"/>
                <w:color w:val="000000"/>
                <w:kern w:val="0"/>
              </w:rPr>
              <w:t>提訴訟</w:t>
            </w:r>
          </w:p>
        </w:tc>
        <w:tc>
          <w:tcPr>
            <w:tcW w:w="1574" w:type="dxa"/>
            <w:vMerge w:val="restart"/>
            <w:noWrap/>
          </w:tcPr>
          <w:p w14:paraId="3384029D"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訴訟</w:t>
            </w:r>
            <w:proofErr w:type="gramStart"/>
            <w:r w:rsidRPr="002010AF">
              <w:rPr>
                <w:rFonts w:ascii="標楷體" w:eastAsia="標楷體" w:hAnsi="標楷體" w:cs="新細明體" w:hint="eastAsia"/>
                <w:color w:val="000000"/>
                <w:kern w:val="0"/>
              </w:rPr>
              <w:t>繫</w:t>
            </w:r>
            <w:proofErr w:type="gramEnd"/>
            <w:r w:rsidRPr="002010AF">
              <w:rPr>
                <w:rFonts w:ascii="標楷體" w:eastAsia="標楷體" w:hAnsi="標楷體" w:cs="新細明體" w:hint="eastAsia"/>
                <w:color w:val="000000"/>
                <w:kern w:val="0"/>
              </w:rPr>
              <w:t>屬中</w:t>
            </w:r>
          </w:p>
        </w:tc>
        <w:tc>
          <w:tcPr>
            <w:tcW w:w="1021" w:type="dxa"/>
            <w:vMerge w:val="restart"/>
            <w:noWrap/>
          </w:tcPr>
          <w:p w14:paraId="6A651135" w14:textId="77777777" w:rsidR="00015113" w:rsidRPr="002010AF" w:rsidRDefault="00015113" w:rsidP="00A6482C">
            <w:pPr>
              <w:widowControl/>
              <w:rPr>
                <w:rFonts w:ascii="標楷體" w:eastAsia="標楷體" w:hAnsi="標楷體" w:cs="新細明體"/>
                <w:color w:val="000000"/>
                <w:kern w:val="0"/>
              </w:rPr>
            </w:pPr>
          </w:p>
        </w:tc>
        <w:tc>
          <w:tcPr>
            <w:tcW w:w="997" w:type="dxa"/>
          </w:tcPr>
          <w:p w14:paraId="425205BB" w14:textId="77777777" w:rsidR="00015113" w:rsidRPr="001176B7" w:rsidRDefault="00015113" w:rsidP="00A6482C">
            <w:pPr>
              <w:widowControl/>
              <w:spacing w:after="160" w:line="278" w:lineRule="auto"/>
              <w:rPr>
                <w:rFonts w:ascii="標楷體" w:eastAsia="標楷體" w:hAnsi="標楷體" w:cs="Times New Roman"/>
                <w:kern w:val="0"/>
                <w:sz w:val="20"/>
                <w:szCs w:val="20"/>
              </w:rPr>
            </w:pPr>
            <w:r w:rsidRPr="002010AF">
              <w:rPr>
                <w:rFonts w:ascii="標楷體" w:eastAsia="標楷體" w:hAnsi="標楷體" w:cs="新細明體" w:hint="eastAsia"/>
                <w:color w:val="000000"/>
                <w:kern w:val="0"/>
              </w:rPr>
              <w:t>有</w:t>
            </w:r>
          </w:p>
        </w:tc>
      </w:tr>
      <w:tr w:rsidR="00015113" w:rsidRPr="001176B7" w14:paraId="399C51A9" w14:textId="77777777" w:rsidTr="00303730">
        <w:trPr>
          <w:trHeight w:val="324"/>
        </w:trPr>
        <w:tc>
          <w:tcPr>
            <w:tcW w:w="456" w:type="dxa"/>
            <w:vMerge/>
            <w:noWrap/>
            <w:vAlign w:val="center"/>
            <w:hideMark/>
          </w:tcPr>
          <w:p w14:paraId="645157D1" w14:textId="77777777" w:rsidR="00015113" w:rsidRPr="002010AF" w:rsidRDefault="00015113" w:rsidP="00303730">
            <w:pPr>
              <w:widowControl/>
              <w:jc w:val="center"/>
              <w:rPr>
                <w:rFonts w:ascii="標楷體" w:eastAsia="標楷體" w:hAnsi="標楷體" w:cs="新細明體"/>
                <w:color w:val="000000"/>
                <w:kern w:val="0"/>
              </w:rPr>
            </w:pPr>
          </w:p>
        </w:tc>
        <w:tc>
          <w:tcPr>
            <w:tcW w:w="1099" w:type="dxa"/>
            <w:vMerge/>
            <w:noWrap/>
            <w:hideMark/>
          </w:tcPr>
          <w:p w14:paraId="1FA2D8FA" w14:textId="77777777" w:rsidR="00015113" w:rsidRPr="002010AF" w:rsidRDefault="00015113" w:rsidP="00A6482C">
            <w:pPr>
              <w:widowControl/>
              <w:rPr>
                <w:rFonts w:ascii="標楷體" w:eastAsia="標楷體" w:hAnsi="標楷體" w:cs="Times New Roman"/>
                <w:kern w:val="0"/>
                <w:sz w:val="20"/>
                <w:szCs w:val="20"/>
              </w:rPr>
            </w:pPr>
          </w:p>
        </w:tc>
        <w:tc>
          <w:tcPr>
            <w:tcW w:w="708" w:type="dxa"/>
            <w:noWrap/>
            <w:hideMark/>
          </w:tcPr>
          <w:p w14:paraId="456A9F73" w14:textId="77777777" w:rsidR="00015113" w:rsidRPr="002010AF" w:rsidRDefault="00015113" w:rsidP="00A6482C">
            <w:pPr>
              <w:widowControl/>
              <w:rPr>
                <w:rFonts w:ascii="標楷體" w:eastAsia="標楷體" w:hAnsi="標楷體" w:cs="Times New Roman"/>
                <w:kern w:val="0"/>
                <w:sz w:val="20"/>
                <w:szCs w:val="20"/>
              </w:rPr>
            </w:pPr>
          </w:p>
        </w:tc>
        <w:tc>
          <w:tcPr>
            <w:tcW w:w="1134" w:type="dxa"/>
            <w:noWrap/>
            <w:hideMark/>
          </w:tcPr>
          <w:p w14:paraId="2673D43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未滿14歲</w:t>
            </w:r>
          </w:p>
        </w:tc>
        <w:tc>
          <w:tcPr>
            <w:tcW w:w="709" w:type="dxa"/>
            <w:noWrap/>
            <w:hideMark/>
          </w:tcPr>
          <w:p w14:paraId="44A05EB3" w14:textId="77777777" w:rsidR="00015113" w:rsidRPr="002010AF" w:rsidRDefault="00015113" w:rsidP="00A6482C">
            <w:pPr>
              <w:widowControl/>
              <w:rPr>
                <w:rFonts w:ascii="標楷體" w:eastAsia="標楷體" w:hAnsi="標楷體" w:cs="新細明體"/>
                <w:color w:val="000000"/>
                <w:kern w:val="0"/>
              </w:rPr>
            </w:pPr>
            <w:r w:rsidRPr="002010AF">
              <w:rPr>
                <w:rFonts w:ascii="標楷體" w:eastAsia="標楷體" w:hAnsi="標楷體" w:cs="新細明體" w:hint="eastAsia"/>
                <w:color w:val="000000"/>
                <w:kern w:val="0"/>
              </w:rPr>
              <w:t>女</w:t>
            </w:r>
          </w:p>
        </w:tc>
        <w:tc>
          <w:tcPr>
            <w:tcW w:w="1420" w:type="dxa"/>
            <w:vMerge/>
            <w:noWrap/>
            <w:hideMark/>
          </w:tcPr>
          <w:p w14:paraId="575DDF61" w14:textId="77777777" w:rsidR="00015113" w:rsidRPr="002010AF" w:rsidRDefault="00015113" w:rsidP="00A6482C">
            <w:pPr>
              <w:widowControl/>
              <w:rPr>
                <w:rFonts w:ascii="標楷體" w:eastAsia="標楷體" w:hAnsi="標楷體" w:cs="新細明體"/>
                <w:color w:val="000000"/>
                <w:kern w:val="0"/>
              </w:rPr>
            </w:pPr>
          </w:p>
        </w:tc>
        <w:tc>
          <w:tcPr>
            <w:tcW w:w="1557" w:type="dxa"/>
            <w:vMerge/>
            <w:noWrap/>
            <w:hideMark/>
          </w:tcPr>
          <w:p w14:paraId="474F6AB9" w14:textId="77777777" w:rsidR="00015113" w:rsidRPr="002010AF" w:rsidRDefault="00015113" w:rsidP="00A6482C">
            <w:pPr>
              <w:widowControl/>
              <w:rPr>
                <w:rFonts w:ascii="標楷體" w:eastAsia="標楷體" w:hAnsi="標楷體" w:cs="Times New Roman"/>
                <w:kern w:val="0"/>
                <w:sz w:val="20"/>
                <w:szCs w:val="20"/>
              </w:rPr>
            </w:pPr>
          </w:p>
        </w:tc>
        <w:tc>
          <w:tcPr>
            <w:tcW w:w="857" w:type="dxa"/>
            <w:vMerge/>
            <w:noWrap/>
            <w:hideMark/>
          </w:tcPr>
          <w:p w14:paraId="4CBE16EB" w14:textId="77777777" w:rsidR="00015113" w:rsidRPr="002010AF" w:rsidRDefault="00015113" w:rsidP="00A6482C">
            <w:pPr>
              <w:widowControl/>
              <w:rPr>
                <w:rFonts w:ascii="標楷體" w:eastAsia="標楷體" w:hAnsi="標楷體" w:cs="Times New Roman"/>
                <w:kern w:val="0"/>
                <w:sz w:val="20"/>
                <w:szCs w:val="20"/>
              </w:rPr>
            </w:pPr>
          </w:p>
        </w:tc>
        <w:tc>
          <w:tcPr>
            <w:tcW w:w="1207" w:type="dxa"/>
            <w:vMerge/>
            <w:noWrap/>
            <w:hideMark/>
          </w:tcPr>
          <w:p w14:paraId="33821BCD" w14:textId="77777777" w:rsidR="00015113" w:rsidRPr="002010AF" w:rsidRDefault="00015113" w:rsidP="00A6482C">
            <w:pPr>
              <w:widowControl/>
              <w:rPr>
                <w:rFonts w:ascii="標楷體" w:eastAsia="標楷體" w:hAnsi="標楷體" w:cs="Times New Roman"/>
                <w:kern w:val="0"/>
                <w:sz w:val="20"/>
                <w:szCs w:val="20"/>
              </w:rPr>
            </w:pPr>
          </w:p>
        </w:tc>
        <w:tc>
          <w:tcPr>
            <w:tcW w:w="1207" w:type="dxa"/>
            <w:vMerge/>
            <w:noWrap/>
            <w:hideMark/>
          </w:tcPr>
          <w:p w14:paraId="21714691" w14:textId="77777777" w:rsidR="00015113" w:rsidRPr="002010AF" w:rsidRDefault="00015113" w:rsidP="00A6482C">
            <w:pPr>
              <w:widowControl/>
              <w:rPr>
                <w:rFonts w:ascii="標楷體" w:eastAsia="標楷體" w:hAnsi="標楷體" w:cs="Times New Roman"/>
                <w:kern w:val="0"/>
                <w:sz w:val="20"/>
                <w:szCs w:val="20"/>
              </w:rPr>
            </w:pPr>
          </w:p>
        </w:tc>
        <w:tc>
          <w:tcPr>
            <w:tcW w:w="840" w:type="dxa"/>
            <w:vMerge/>
            <w:noWrap/>
            <w:hideMark/>
          </w:tcPr>
          <w:p w14:paraId="2F3059B9" w14:textId="77777777" w:rsidR="00015113" w:rsidRPr="002010AF" w:rsidRDefault="00015113" w:rsidP="00A6482C">
            <w:pPr>
              <w:widowControl/>
              <w:rPr>
                <w:rFonts w:ascii="標楷體" w:eastAsia="標楷體" w:hAnsi="標楷體" w:cs="Times New Roman"/>
                <w:kern w:val="0"/>
                <w:sz w:val="20"/>
                <w:szCs w:val="20"/>
              </w:rPr>
            </w:pPr>
          </w:p>
        </w:tc>
        <w:tc>
          <w:tcPr>
            <w:tcW w:w="1574" w:type="dxa"/>
            <w:vMerge/>
            <w:noWrap/>
            <w:hideMark/>
          </w:tcPr>
          <w:p w14:paraId="6CEEC9C6" w14:textId="77777777" w:rsidR="00015113" w:rsidRPr="002010AF" w:rsidRDefault="00015113" w:rsidP="00A6482C">
            <w:pPr>
              <w:widowControl/>
              <w:rPr>
                <w:rFonts w:ascii="標楷體" w:eastAsia="標楷體" w:hAnsi="標楷體" w:cs="Times New Roman"/>
                <w:kern w:val="0"/>
                <w:sz w:val="20"/>
                <w:szCs w:val="20"/>
              </w:rPr>
            </w:pPr>
          </w:p>
        </w:tc>
        <w:tc>
          <w:tcPr>
            <w:tcW w:w="1021" w:type="dxa"/>
            <w:vMerge/>
            <w:noWrap/>
            <w:hideMark/>
          </w:tcPr>
          <w:p w14:paraId="1FBF9A48" w14:textId="77777777" w:rsidR="00015113" w:rsidRPr="002010AF" w:rsidRDefault="00015113" w:rsidP="00A6482C">
            <w:pPr>
              <w:widowControl/>
              <w:rPr>
                <w:rFonts w:ascii="標楷體" w:eastAsia="標楷體" w:hAnsi="標楷體" w:cs="Times New Roman"/>
                <w:kern w:val="0"/>
                <w:sz w:val="20"/>
                <w:szCs w:val="20"/>
              </w:rPr>
            </w:pPr>
          </w:p>
        </w:tc>
        <w:tc>
          <w:tcPr>
            <w:tcW w:w="997" w:type="dxa"/>
            <w:noWrap/>
            <w:hideMark/>
          </w:tcPr>
          <w:p w14:paraId="148E7E9F" w14:textId="77777777" w:rsidR="00015113" w:rsidRPr="002010AF" w:rsidRDefault="00015113" w:rsidP="00A6482C">
            <w:pPr>
              <w:widowControl/>
              <w:rPr>
                <w:rFonts w:ascii="標楷體" w:eastAsia="標楷體" w:hAnsi="標楷體" w:cs="Times New Roman"/>
                <w:kern w:val="0"/>
                <w:sz w:val="20"/>
                <w:szCs w:val="20"/>
              </w:rPr>
            </w:pPr>
            <w:r w:rsidRPr="002010AF">
              <w:rPr>
                <w:rFonts w:ascii="標楷體" w:eastAsia="標楷體" w:hAnsi="標楷體" w:cs="新細明體" w:hint="eastAsia"/>
                <w:color w:val="000000"/>
                <w:kern w:val="0"/>
              </w:rPr>
              <w:t>有</w:t>
            </w:r>
          </w:p>
        </w:tc>
      </w:tr>
    </w:tbl>
    <w:p w14:paraId="232B9EE0" w14:textId="5F21AF0E" w:rsidR="001E091E" w:rsidRPr="00015113" w:rsidRDefault="00655EA7" w:rsidP="00015113">
      <w:pPr>
        <w:rPr>
          <w:rFonts w:ascii="標楷體" w:eastAsia="標楷體" w:hAnsi="標楷體" w:hint="eastAsia"/>
        </w:rPr>
      </w:pPr>
      <w:proofErr w:type="gramStart"/>
      <w:r w:rsidRPr="0065106D">
        <w:rPr>
          <w:rFonts w:ascii="標楷體" w:eastAsia="標楷體" w:hAnsi="標楷體" w:hint="eastAsia"/>
        </w:rPr>
        <w:t>註</w:t>
      </w:r>
      <w:proofErr w:type="gramEnd"/>
      <w:r w:rsidRPr="0065106D">
        <w:rPr>
          <w:rFonts w:ascii="標楷體" w:eastAsia="標楷體" w:hAnsi="標楷體" w:hint="eastAsia"/>
        </w:rPr>
        <w:t>：空格為無相關資料</w:t>
      </w:r>
    </w:p>
    <w:sectPr w:rsidR="001E091E" w:rsidRPr="00015113" w:rsidSect="00015113">
      <w:footerReference w:type="default" r:id="rId8"/>
      <w:pgSz w:w="16838" w:h="11906" w:orient="landscape"/>
      <w:pgMar w:top="720" w:right="1021" w:bottom="720"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7775" w14:textId="77777777" w:rsidR="00636CEC" w:rsidRDefault="00636CEC" w:rsidP="00E41508">
      <w:pPr>
        <w:spacing w:after="0" w:line="240" w:lineRule="auto"/>
      </w:pPr>
      <w:r>
        <w:separator/>
      </w:r>
    </w:p>
  </w:endnote>
  <w:endnote w:type="continuationSeparator" w:id="0">
    <w:p w14:paraId="65804AC9" w14:textId="77777777" w:rsidR="00636CEC" w:rsidRDefault="00636CEC" w:rsidP="00E4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606609"/>
      <w:docPartObj>
        <w:docPartGallery w:val="Page Numbers (Bottom of Page)"/>
        <w:docPartUnique/>
      </w:docPartObj>
    </w:sdtPr>
    <w:sdtContent>
      <w:p w14:paraId="749D6DC1" w14:textId="77777777" w:rsidR="001410EF" w:rsidRDefault="001410EF">
        <w:pPr>
          <w:pStyle w:val="af0"/>
          <w:jc w:val="center"/>
        </w:pPr>
        <w:r>
          <w:fldChar w:fldCharType="begin"/>
        </w:r>
        <w:r>
          <w:instrText>PAGE   \* MERGEFORMAT</w:instrText>
        </w:r>
        <w:r>
          <w:fldChar w:fldCharType="separate"/>
        </w:r>
        <w:r>
          <w:rPr>
            <w:lang w:val="zh-TW"/>
          </w:rPr>
          <w:t>2</w:t>
        </w:r>
        <w:r>
          <w:fldChar w:fldCharType="end"/>
        </w:r>
      </w:p>
    </w:sdtContent>
  </w:sdt>
  <w:p w14:paraId="568886AA" w14:textId="77777777" w:rsidR="001410EF" w:rsidRDefault="001410E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385337"/>
      <w:docPartObj>
        <w:docPartGallery w:val="Page Numbers (Bottom of Page)"/>
        <w:docPartUnique/>
      </w:docPartObj>
    </w:sdtPr>
    <w:sdtContent>
      <w:p w14:paraId="015FD1E1" w14:textId="34C44EA6" w:rsidR="00E41508" w:rsidRDefault="00E41508">
        <w:pPr>
          <w:pStyle w:val="af0"/>
          <w:jc w:val="center"/>
        </w:pPr>
        <w:r>
          <w:fldChar w:fldCharType="begin"/>
        </w:r>
        <w:r>
          <w:instrText>PAGE   \* MERGEFORMAT</w:instrText>
        </w:r>
        <w:r>
          <w:fldChar w:fldCharType="separate"/>
        </w:r>
        <w:r>
          <w:rPr>
            <w:lang w:val="zh-TW"/>
          </w:rPr>
          <w:t>2</w:t>
        </w:r>
        <w:r>
          <w:fldChar w:fldCharType="end"/>
        </w:r>
      </w:p>
    </w:sdtContent>
  </w:sdt>
  <w:p w14:paraId="05E78E95" w14:textId="77777777" w:rsidR="00E41508" w:rsidRDefault="00E4150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AB50" w14:textId="77777777" w:rsidR="00636CEC" w:rsidRDefault="00636CEC" w:rsidP="00E41508">
      <w:pPr>
        <w:spacing w:after="0" w:line="240" w:lineRule="auto"/>
      </w:pPr>
      <w:r>
        <w:separator/>
      </w:r>
    </w:p>
  </w:footnote>
  <w:footnote w:type="continuationSeparator" w:id="0">
    <w:p w14:paraId="1893CDEF" w14:textId="77777777" w:rsidR="00636CEC" w:rsidRDefault="00636CEC" w:rsidP="00E41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42B"/>
    <w:multiLevelType w:val="hybridMultilevel"/>
    <w:tmpl w:val="A7A84F0C"/>
    <w:lvl w:ilvl="0" w:tplc="FFFFFFFF">
      <w:start w:val="1"/>
      <w:numFmt w:val="decimal"/>
      <w:lvlText w:val="%1."/>
      <w:lvlJc w:val="left"/>
      <w:pPr>
        <w:ind w:left="1275" w:hanging="480"/>
      </w:pPr>
    </w:lvl>
    <w:lvl w:ilvl="1" w:tplc="FFFFFFFF" w:tentative="1">
      <w:start w:val="1"/>
      <w:numFmt w:val="ideographTraditional"/>
      <w:lvlText w:val="%2、"/>
      <w:lvlJc w:val="left"/>
      <w:pPr>
        <w:ind w:left="1755" w:hanging="480"/>
      </w:pPr>
    </w:lvl>
    <w:lvl w:ilvl="2" w:tplc="FFFFFFFF" w:tentative="1">
      <w:start w:val="1"/>
      <w:numFmt w:val="lowerRoman"/>
      <w:lvlText w:val="%3."/>
      <w:lvlJc w:val="right"/>
      <w:pPr>
        <w:ind w:left="2235" w:hanging="480"/>
      </w:pPr>
    </w:lvl>
    <w:lvl w:ilvl="3" w:tplc="FFFFFFFF" w:tentative="1">
      <w:start w:val="1"/>
      <w:numFmt w:val="decimal"/>
      <w:lvlText w:val="%4."/>
      <w:lvlJc w:val="left"/>
      <w:pPr>
        <w:ind w:left="2715" w:hanging="480"/>
      </w:pPr>
    </w:lvl>
    <w:lvl w:ilvl="4" w:tplc="FFFFFFFF" w:tentative="1">
      <w:start w:val="1"/>
      <w:numFmt w:val="ideographTraditional"/>
      <w:lvlText w:val="%5、"/>
      <w:lvlJc w:val="left"/>
      <w:pPr>
        <w:ind w:left="3195" w:hanging="480"/>
      </w:pPr>
    </w:lvl>
    <w:lvl w:ilvl="5" w:tplc="FFFFFFFF" w:tentative="1">
      <w:start w:val="1"/>
      <w:numFmt w:val="lowerRoman"/>
      <w:lvlText w:val="%6."/>
      <w:lvlJc w:val="right"/>
      <w:pPr>
        <w:ind w:left="3675" w:hanging="480"/>
      </w:pPr>
    </w:lvl>
    <w:lvl w:ilvl="6" w:tplc="FFFFFFFF" w:tentative="1">
      <w:start w:val="1"/>
      <w:numFmt w:val="decimal"/>
      <w:lvlText w:val="%7."/>
      <w:lvlJc w:val="left"/>
      <w:pPr>
        <w:ind w:left="4155" w:hanging="480"/>
      </w:pPr>
    </w:lvl>
    <w:lvl w:ilvl="7" w:tplc="FFFFFFFF" w:tentative="1">
      <w:start w:val="1"/>
      <w:numFmt w:val="ideographTraditional"/>
      <w:lvlText w:val="%8、"/>
      <w:lvlJc w:val="left"/>
      <w:pPr>
        <w:ind w:left="4635" w:hanging="480"/>
      </w:pPr>
    </w:lvl>
    <w:lvl w:ilvl="8" w:tplc="FFFFFFFF" w:tentative="1">
      <w:start w:val="1"/>
      <w:numFmt w:val="lowerRoman"/>
      <w:lvlText w:val="%9."/>
      <w:lvlJc w:val="right"/>
      <w:pPr>
        <w:ind w:left="5115" w:hanging="480"/>
      </w:pPr>
    </w:lvl>
  </w:abstractNum>
  <w:abstractNum w:abstractNumId="1" w15:restartNumberingAfterBreak="0">
    <w:nsid w:val="0FF67D2E"/>
    <w:multiLevelType w:val="hybridMultilevel"/>
    <w:tmpl w:val="A7A84F0C"/>
    <w:lvl w:ilvl="0" w:tplc="0409000F">
      <w:start w:val="1"/>
      <w:numFmt w:val="decimal"/>
      <w:lvlText w:val="%1."/>
      <w:lvlJc w:val="left"/>
      <w:pPr>
        <w:ind w:left="1275" w:hanging="480"/>
      </w:p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 w15:restartNumberingAfterBreak="0">
    <w:nsid w:val="17635841"/>
    <w:multiLevelType w:val="hybridMultilevel"/>
    <w:tmpl w:val="3586AA5A"/>
    <w:lvl w:ilvl="0" w:tplc="50CE6D3C">
      <w:start w:val="1"/>
      <w:numFmt w:val="taiwaneseCountingThousand"/>
      <w:lvlText w:val="(%1)"/>
      <w:lvlJc w:val="left"/>
      <w:pPr>
        <w:ind w:left="1035" w:hanging="720"/>
      </w:pPr>
      <w:rPr>
        <w:rFonts w:hint="eastAsia"/>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3" w15:restartNumberingAfterBreak="0">
    <w:nsid w:val="19672FFA"/>
    <w:multiLevelType w:val="multilevel"/>
    <w:tmpl w:val="74D2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960DC"/>
    <w:multiLevelType w:val="multilevel"/>
    <w:tmpl w:val="4794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B11FFB"/>
    <w:multiLevelType w:val="multilevel"/>
    <w:tmpl w:val="3CE2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F3F21"/>
    <w:multiLevelType w:val="hybridMultilevel"/>
    <w:tmpl w:val="77E401E0"/>
    <w:lvl w:ilvl="0" w:tplc="1EF04E04">
      <w:start w:val="4"/>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8C6F2A"/>
    <w:multiLevelType w:val="multilevel"/>
    <w:tmpl w:val="D9CC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175305">
    <w:abstractNumId w:val="3"/>
  </w:num>
  <w:num w:numId="2" w16cid:durableId="955327238">
    <w:abstractNumId w:val="7"/>
  </w:num>
  <w:num w:numId="3" w16cid:durableId="534076495">
    <w:abstractNumId w:val="6"/>
  </w:num>
  <w:num w:numId="4" w16cid:durableId="1263611460">
    <w:abstractNumId w:val="2"/>
  </w:num>
  <w:num w:numId="5" w16cid:durableId="146090970">
    <w:abstractNumId w:val="5"/>
  </w:num>
  <w:num w:numId="6" w16cid:durableId="883523488">
    <w:abstractNumId w:val="4"/>
  </w:num>
  <w:num w:numId="7" w16cid:durableId="1019355658">
    <w:abstractNumId w:val="1"/>
  </w:num>
  <w:num w:numId="8" w16cid:durableId="193235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9B"/>
    <w:rsid w:val="00004EE6"/>
    <w:rsid w:val="00007CC5"/>
    <w:rsid w:val="00011719"/>
    <w:rsid w:val="00015113"/>
    <w:rsid w:val="00021CD7"/>
    <w:rsid w:val="00054AFA"/>
    <w:rsid w:val="00057F6E"/>
    <w:rsid w:val="0006122D"/>
    <w:rsid w:val="000A182D"/>
    <w:rsid w:val="000B356F"/>
    <w:rsid w:val="000C10E3"/>
    <w:rsid w:val="000E1C55"/>
    <w:rsid w:val="000E4034"/>
    <w:rsid w:val="000E4245"/>
    <w:rsid w:val="000E45B4"/>
    <w:rsid w:val="000E483E"/>
    <w:rsid w:val="000E5875"/>
    <w:rsid w:val="000F4AFD"/>
    <w:rsid w:val="00111C08"/>
    <w:rsid w:val="001410EF"/>
    <w:rsid w:val="00143BC8"/>
    <w:rsid w:val="0015399C"/>
    <w:rsid w:val="00155BDA"/>
    <w:rsid w:val="00176BD0"/>
    <w:rsid w:val="00177D9A"/>
    <w:rsid w:val="001B06C3"/>
    <w:rsid w:val="001B66AA"/>
    <w:rsid w:val="001C4BA0"/>
    <w:rsid w:val="001D052D"/>
    <w:rsid w:val="001D0AAC"/>
    <w:rsid w:val="001D30E5"/>
    <w:rsid w:val="001D41F8"/>
    <w:rsid w:val="001E091E"/>
    <w:rsid w:val="001E321C"/>
    <w:rsid w:val="001F0416"/>
    <w:rsid w:val="001F3EFD"/>
    <w:rsid w:val="001F40FF"/>
    <w:rsid w:val="00204F8D"/>
    <w:rsid w:val="0020750E"/>
    <w:rsid w:val="002117FA"/>
    <w:rsid w:val="00213C65"/>
    <w:rsid w:val="00224CC5"/>
    <w:rsid w:val="0023098B"/>
    <w:rsid w:val="00234BD3"/>
    <w:rsid w:val="00235D75"/>
    <w:rsid w:val="00242A1F"/>
    <w:rsid w:val="0025680C"/>
    <w:rsid w:val="0026459D"/>
    <w:rsid w:val="00272167"/>
    <w:rsid w:val="00274ABB"/>
    <w:rsid w:val="002831A1"/>
    <w:rsid w:val="0029007C"/>
    <w:rsid w:val="00294D6D"/>
    <w:rsid w:val="002B2C81"/>
    <w:rsid w:val="002B5389"/>
    <w:rsid w:val="002D0E67"/>
    <w:rsid w:val="002D76B5"/>
    <w:rsid w:val="002E5D52"/>
    <w:rsid w:val="002F01C2"/>
    <w:rsid w:val="002F2652"/>
    <w:rsid w:val="002F4A0F"/>
    <w:rsid w:val="002F6186"/>
    <w:rsid w:val="00302DD3"/>
    <w:rsid w:val="00303730"/>
    <w:rsid w:val="00313823"/>
    <w:rsid w:val="0031541D"/>
    <w:rsid w:val="00317088"/>
    <w:rsid w:val="00320421"/>
    <w:rsid w:val="003209BF"/>
    <w:rsid w:val="00330F5E"/>
    <w:rsid w:val="00333455"/>
    <w:rsid w:val="003440EA"/>
    <w:rsid w:val="00344EFF"/>
    <w:rsid w:val="003613E6"/>
    <w:rsid w:val="00362BD3"/>
    <w:rsid w:val="003662A8"/>
    <w:rsid w:val="00381A9E"/>
    <w:rsid w:val="00390ED2"/>
    <w:rsid w:val="00396571"/>
    <w:rsid w:val="003979DF"/>
    <w:rsid w:val="003A0C9E"/>
    <w:rsid w:val="003A6A8A"/>
    <w:rsid w:val="003A6A8B"/>
    <w:rsid w:val="003B2904"/>
    <w:rsid w:val="003C3FDF"/>
    <w:rsid w:val="003C59B3"/>
    <w:rsid w:val="003C7446"/>
    <w:rsid w:val="003D40C5"/>
    <w:rsid w:val="003D6A76"/>
    <w:rsid w:val="003E0A78"/>
    <w:rsid w:val="00403EDF"/>
    <w:rsid w:val="00413E28"/>
    <w:rsid w:val="0042312F"/>
    <w:rsid w:val="004348E4"/>
    <w:rsid w:val="00445E30"/>
    <w:rsid w:val="00454665"/>
    <w:rsid w:val="004564CD"/>
    <w:rsid w:val="00460E9B"/>
    <w:rsid w:val="00461BBF"/>
    <w:rsid w:val="004645B2"/>
    <w:rsid w:val="00466297"/>
    <w:rsid w:val="00466B96"/>
    <w:rsid w:val="00466F2E"/>
    <w:rsid w:val="004724A3"/>
    <w:rsid w:val="004757F2"/>
    <w:rsid w:val="00477187"/>
    <w:rsid w:val="00480B77"/>
    <w:rsid w:val="00480EC9"/>
    <w:rsid w:val="00491A82"/>
    <w:rsid w:val="004A71F6"/>
    <w:rsid w:val="004C6C02"/>
    <w:rsid w:val="004C6EA5"/>
    <w:rsid w:val="004D1249"/>
    <w:rsid w:val="004D5546"/>
    <w:rsid w:val="004E7004"/>
    <w:rsid w:val="004E7738"/>
    <w:rsid w:val="004F4E0B"/>
    <w:rsid w:val="00506360"/>
    <w:rsid w:val="005214E2"/>
    <w:rsid w:val="00521F14"/>
    <w:rsid w:val="00543544"/>
    <w:rsid w:val="00543A52"/>
    <w:rsid w:val="00555417"/>
    <w:rsid w:val="00565B39"/>
    <w:rsid w:val="00575DEA"/>
    <w:rsid w:val="005844A4"/>
    <w:rsid w:val="00585C72"/>
    <w:rsid w:val="0058688D"/>
    <w:rsid w:val="005A3DAB"/>
    <w:rsid w:val="005A589C"/>
    <w:rsid w:val="005B0001"/>
    <w:rsid w:val="005C0DFD"/>
    <w:rsid w:val="005C44FD"/>
    <w:rsid w:val="005C6604"/>
    <w:rsid w:val="005C6E4B"/>
    <w:rsid w:val="005F6E94"/>
    <w:rsid w:val="005F77BF"/>
    <w:rsid w:val="005F7D40"/>
    <w:rsid w:val="006072A5"/>
    <w:rsid w:val="00610943"/>
    <w:rsid w:val="006110E7"/>
    <w:rsid w:val="006160CA"/>
    <w:rsid w:val="00617BCC"/>
    <w:rsid w:val="00634DB1"/>
    <w:rsid w:val="00636CEC"/>
    <w:rsid w:val="00642675"/>
    <w:rsid w:val="00653023"/>
    <w:rsid w:val="006538B2"/>
    <w:rsid w:val="00653F07"/>
    <w:rsid w:val="00655886"/>
    <w:rsid w:val="00655EA7"/>
    <w:rsid w:val="00676E38"/>
    <w:rsid w:val="00697A66"/>
    <w:rsid w:val="006C121E"/>
    <w:rsid w:val="006C4BA1"/>
    <w:rsid w:val="006C7E5F"/>
    <w:rsid w:val="006F31F0"/>
    <w:rsid w:val="006F581B"/>
    <w:rsid w:val="007042CD"/>
    <w:rsid w:val="00705DF4"/>
    <w:rsid w:val="00714AF1"/>
    <w:rsid w:val="00717816"/>
    <w:rsid w:val="007267F6"/>
    <w:rsid w:val="007274FC"/>
    <w:rsid w:val="00731A69"/>
    <w:rsid w:val="00735EFD"/>
    <w:rsid w:val="00745A05"/>
    <w:rsid w:val="00751651"/>
    <w:rsid w:val="00753E0A"/>
    <w:rsid w:val="007610E9"/>
    <w:rsid w:val="00763E9C"/>
    <w:rsid w:val="00766DE3"/>
    <w:rsid w:val="00773C21"/>
    <w:rsid w:val="00781C70"/>
    <w:rsid w:val="00787F92"/>
    <w:rsid w:val="007A3709"/>
    <w:rsid w:val="007A72A2"/>
    <w:rsid w:val="007B3829"/>
    <w:rsid w:val="007B45AB"/>
    <w:rsid w:val="007B5A4A"/>
    <w:rsid w:val="007D5AA9"/>
    <w:rsid w:val="007D5C21"/>
    <w:rsid w:val="007E0693"/>
    <w:rsid w:val="007E3AFC"/>
    <w:rsid w:val="007E6F26"/>
    <w:rsid w:val="007F063C"/>
    <w:rsid w:val="007F70CC"/>
    <w:rsid w:val="0080050F"/>
    <w:rsid w:val="00802A10"/>
    <w:rsid w:val="00831A5E"/>
    <w:rsid w:val="00836F78"/>
    <w:rsid w:val="00837AE7"/>
    <w:rsid w:val="00837F7E"/>
    <w:rsid w:val="00842976"/>
    <w:rsid w:val="00851190"/>
    <w:rsid w:val="0085448A"/>
    <w:rsid w:val="00854639"/>
    <w:rsid w:val="008562F4"/>
    <w:rsid w:val="00866F41"/>
    <w:rsid w:val="00880BB7"/>
    <w:rsid w:val="00881F27"/>
    <w:rsid w:val="00884EFC"/>
    <w:rsid w:val="00885BD0"/>
    <w:rsid w:val="00890DA6"/>
    <w:rsid w:val="008A137D"/>
    <w:rsid w:val="008A31C9"/>
    <w:rsid w:val="008B5C8D"/>
    <w:rsid w:val="008B6EFC"/>
    <w:rsid w:val="008C7AF3"/>
    <w:rsid w:val="008D174D"/>
    <w:rsid w:val="008D2415"/>
    <w:rsid w:val="008D5433"/>
    <w:rsid w:val="008E4B38"/>
    <w:rsid w:val="008E4B3E"/>
    <w:rsid w:val="008E6CBC"/>
    <w:rsid w:val="008F4C5B"/>
    <w:rsid w:val="008F6166"/>
    <w:rsid w:val="008F6A13"/>
    <w:rsid w:val="00900DFF"/>
    <w:rsid w:val="00904E32"/>
    <w:rsid w:val="00905034"/>
    <w:rsid w:val="0091264C"/>
    <w:rsid w:val="0092371A"/>
    <w:rsid w:val="0092542C"/>
    <w:rsid w:val="00934243"/>
    <w:rsid w:val="0094090A"/>
    <w:rsid w:val="0094094C"/>
    <w:rsid w:val="009503DC"/>
    <w:rsid w:val="00950FA8"/>
    <w:rsid w:val="009516FE"/>
    <w:rsid w:val="00951EE3"/>
    <w:rsid w:val="00961584"/>
    <w:rsid w:val="00961C77"/>
    <w:rsid w:val="00963C82"/>
    <w:rsid w:val="00971219"/>
    <w:rsid w:val="00977CD2"/>
    <w:rsid w:val="00985A60"/>
    <w:rsid w:val="00987266"/>
    <w:rsid w:val="00990B25"/>
    <w:rsid w:val="009949B9"/>
    <w:rsid w:val="009A489E"/>
    <w:rsid w:val="009B332B"/>
    <w:rsid w:val="009C5359"/>
    <w:rsid w:val="009E24C6"/>
    <w:rsid w:val="009E7158"/>
    <w:rsid w:val="009F2940"/>
    <w:rsid w:val="009F6861"/>
    <w:rsid w:val="00A033BB"/>
    <w:rsid w:val="00A12E4C"/>
    <w:rsid w:val="00A211AF"/>
    <w:rsid w:val="00A2524C"/>
    <w:rsid w:val="00A31B38"/>
    <w:rsid w:val="00A50691"/>
    <w:rsid w:val="00A52D28"/>
    <w:rsid w:val="00A613FF"/>
    <w:rsid w:val="00A61533"/>
    <w:rsid w:val="00A64D7E"/>
    <w:rsid w:val="00A86AA5"/>
    <w:rsid w:val="00A87236"/>
    <w:rsid w:val="00AB1591"/>
    <w:rsid w:val="00AB1C21"/>
    <w:rsid w:val="00AB2700"/>
    <w:rsid w:val="00AB67D6"/>
    <w:rsid w:val="00AD0D57"/>
    <w:rsid w:val="00AF1858"/>
    <w:rsid w:val="00AF2D96"/>
    <w:rsid w:val="00AF4691"/>
    <w:rsid w:val="00AF49B9"/>
    <w:rsid w:val="00B1792D"/>
    <w:rsid w:val="00B22CA3"/>
    <w:rsid w:val="00B23064"/>
    <w:rsid w:val="00B267D7"/>
    <w:rsid w:val="00B30145"/>
    <w:rsid w:val="00B354EF"/>
    <w:rsid w:val="00B35DE3"/>
    <w:rsid w:val="00B373B0"/>
    <w:rsid w:val="00B50B0F"/>
    <w:rsid w:val="00B619FA"/>
    <w:rsid w:val="00B700FE"/>
    <w:rsid w:val="00B858E2"/>
    <w:rsid w:val="00B940FB"/>
    <w:rsid w:val="00BA0417"/>
    <w:rsid w:val="00BB0586"/>
    <w:rsid w:val="00BC38C9"/>
    <w:rsid w:val="00BD1388"/>
    <w:rsid w:val="00BD6DC2"/>
    <w:rsid w:val="00BE06AA"/>
    <w:rsid w:val="00BE3788"/>
    <w:rsid w:val="00C120B6"/>
    <w:rsid w:val="00C21421"/>
    <w:rsid w:val="00C21B18"/>
    <w:rsid w:val="00C31E0D"/>
    <w:rsid w:val="00C340D3"/>
    <w:rsid w:val="00C405A1"/>
    <w:rsid w:val="00C442B7"/>
    <w:rsid w:val="00C5692A"/>
    <w:rsid w:val="00C63A28"/>
    <w:rsid w:val="00C70E3F"/>
    <w:rsid w:val="00C808FC"/>
    <w:rsid w:val="00C85440"/>
    <w:rsid w:val="00C8734F"/>
    <w:rsid w:val="00CB1229"/>
    <w:rsid w:val="00CB6B57"/>
    <w:rsid w:val="00CD11E6"/>
    <w:rsid w:val="00CD1C3C"/>
    <w:rsid w:val="00CE3A27"/>
    <w:rsid w:val="00CE64C8"/>
    <w:rsid w:val="00CF13EA"/>
    <w:rsid w:val="00CF4D00"/>
    <w:rsid w:val="00D0221E"/>
    <w:rsid w:val="00D05487"/>
    <w:rsid w:val="00D10032"/>
    <w:rsid w:val="00D22509"/>
    <w:rsid w:val="00D27FDC"/>
    <w:rsid w:val="00D32D90"/>
    <w:rsid w:val="00D34BBB"/>
    <w:rsid w:val="00D4408E"/>
    <w:rsid w:val="00D5167C"/>
    <w:rsid w:val="00D557F9"/>
    <w:rsid w:val="00D576EC"/>
    <w:rsid w:val="00D5793D"/>
    <w:rsid w:val="00D61F96"/>
    <w:rsid w:val="00D82E8C"/>
    <w:rsid w:val="00D866D0"/>
    <w:rsid w:val="00D97523"/>
    <w:rsid w:val="00DA033F"/>
    <w:rsid w:val="00DB4926"/>
    <w:rsid w:val="00DB58FF"/>
    <w:rsid w:val="00DC3A5F"/>
    <w:rsid w:val="00DD1DAE"/>
    <w:rsid w:val="00DD3716"/>
    <w:rsid w:val="00DD4CDE"/>
    <w:rsid w:val="00DD6FEB"/>
    <w:rsid w:val="00DD7FFD"/>
    <w:rsid w:val="00DE5136"/>
    <w:rsid w:val="00E058E5"/>
    <w:rsid w:val="00E25699"/>
    <w:rsid w:val="00E26D1F"/>
    <w:rsid w:val="00E4024A"/>
    <w:rsid w:val="00E41508"/>
    <w:rsid w:val="00E42793"/>
    <w:rsid w:val="00E44783"/>
    <w:rsid w:val="00E5235D"/>
    <w:rsid w:val="00E60208"/>
    <w:rsid w:val="00E61732"/>
    <w:rsid w:val="00E61CBA"/>
    <w:rsid w:val="00E66F5F"/>
    <w:rsid w:val="00E74960"/>
    <w:rsid w:val="00E81D6B"/>
    <w:rsid w:val="00E87DBC"/>
    <w:rsid w:val="00E906F1"/>
    <w:rsid w:val="00E9473B"/>
    <w:rsid w:val="00EB26D5"/>
    <w:rsid w:val="00EE000C"/>
    <w:rsid w:val="00EE160D"/>
    <w:rsid w:val="00EF0F86"/>
    <w:rsid w:val="00EF5849"/>
    <w:rsid w:val="00F01BFE"/>
    <w:rsid w:val="00F03C10"/>
    <w:rsid w:val="00F05CB7"/>
    <w:rsid w:val="00F10400"/>
    <w:rsid w:val="00F130A1"/>
    <w:rsid w:val="00F14DCB"/>
    <w:rsid w:val="00F21705"/>
    <w:rsid w:val="00F50E96"/>
    <w:rsid w:val="00F54BB0"/>
    <w:rsid w:val="00F56F67"/>
    <w:rsid w:val="00F7365B"/>
    <w:rsid w:val="00F849A7"/>
    <w:rsid w:val="00F90A7A"/>
    <w:rsid w:val="00F921E4"/>
    <w:rsid w:val="00F9462A"/>
    <w:rsid w:val="00F96821"/>
    <w:rsid w:val="00F97A75"/>
    <w:rsid w:val="00FB1735"/>
    <w:rsid w:val="00FB17B3"/>
    <w:rsid w:val="00FB2376"/>
    <w:rsid w:val="00FB5B50"/>
    <w:rsid w:val="00FD43CC"/>
    <w:rsid w:val="00FD6992"/>
    <w:rsid w:val="00FD72DC"/>
    <w:rsid w:val="00FD7F52"/>
    <w:rsid w:val="00FE0CDD"/>
    <w:rsid w:val="00FE1B6C"/>
    <w:rsid w:val="00FF1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6EAA1"/>
  <w15:chartTrackingRefBased/>
  <w15:docId w15:val="{DADCD242-6935-41B5-AA97-14B01182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E9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460E9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60E9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460E9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60E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0E9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60E9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0E9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60E9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60E9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460E9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60E9B"/>
    <w:rPr>
      <w:rFonts w:eastAsiaTheme="majorEastAsia" w:cstheme="majorBidi"/>
      <w:color w:val="0F4761" w:themeColor="accent1" w:themeShade="BF"/>
      <w:sz w:val="32"/>
      <w:szCs w:val="32"/>
    </w:rPr>
  </w:style>
  <w:style w:type="character" w:customStyle="1" w:styleId="40">
    <w:name w:val="標題 4 字元"/>
    <w:basedOn w:val="a0"/>
    <w:link w:val="4"/>
    <w:uiPriority w:val="9"/>
    <w:rsid w:val="00460E9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60E9B"/>
    <w:rPr>
      <w:rFonts w:eastAsiaTheme="majorEastAsia" w:cstheme="majorBidi"/>
      <w:color w:val="0F4761" w:themeColor="accent1" w:themeShade="BF"/>
    </w:rPr>
  </w:style>
  <w:style w:type="character" w:customStyle="1" w:styleId="60">
    <w:name w:val="標題 6 字元"/>
    <w:basedOn w:val="a0"/>
    <w:link w:val="6"/>
    <w:uiPriority w:val="9"/>
    <w:semiHidden/>
    <w:rsid w:val="00460E9B"/>
    <w:rPr>
      <w:rFonts w:eastAsiaTheme="majorEastAsia" w:cstheme="majorBidi"/>
      <w:color w:val="595959" w:themeColor="text1" w:themeTint="A6"/>
    </w:rPr>
  </w:style>
  <w:style w:type="character" w:customStyle="1" w:styleId="70">
    <w:name w:val="標題 7 字元"/>
    <w:basedOn w:val="a0"/>
    <w:link w:val="7"/>
    <w:uiPriority w:val="9"/>
    <w:semiHidden/>
    <w:rsid w:val="00460E9B"/>
    <w:rPr>
      <w:rFonts w:eastAsiaTheme="majorEastAsia" w:cstheme="majorBidi"/>
      <w:color w:val="595959" w:themeColor="text1" w:themeTint="A6"/>
    </w:rPr>
  </w:style>
  <w:style w:type="character" w:customStyle="1" w:styleId="80">
    <w:name w:val="標題 8 字元"/>
    <w:basedOn w:val="a0"/>
    <w:link w:val="8"/>
    <w:uiPriority w:val="9"/>
    <w:semiHidden/>
    <w:rsid w:val="00460E9B"/>
    <w:rPr>
      <w:rFonts w:eastAsiaTheme="majorEastAsia" w:cstheme="majorBidi"/>
      <w:color w:val="272727" w:themeColor="text1" w:themeTint="D8"/>
    </w:rPr>
  </w:style>
  <w:style w:type="character" w:customStyle="1" w:styleId="90">
    <w:name w:val="標題 9 字元"/>
    <w:basedOn w:val="a0"/>
    <w:link w:val="9"/>
    <w:uiPriority w:val="9"/>
    <w:semiHidden/>
    <w:rsid w:val="00460E9B"/>
    <w:rPr>
      <w:rFonts w:eastAsiaTheme="majorEastAsia" w:cstheme="majorBidi"/>
      <w:color w:val="272727" w:themeColor="text1" w:themeTint="D8"/>
    </w:rPr>
  </w:style>
  <w:style w:type="paragraph" w:styleId="a3">
    <w:name w:val="Title"/>
    <w:basedOn w:val="a"/>
    <w:next w:val="a"/>
    <w:link w:val="a4"/>
    <w:uiPriority w:val="10"/>
    <w:qFormat/>
    <w:rsid w:val="00460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60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60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E9B"/>
    <w:pPr>
      <w:spacing w:before="160"/>
      <w:jc w:val="center"/>
    </w:pPr>
    <w:rPr>
      <w:i/>
      <w:iCs/>
      <w:color w:val="404040" w:themeColor="text1" w:themeTint="BF"/>
    </w:rPr>
  </w:style>
  <w:style w:type="character" w:customStyle="1" w:styleId="a8">
    <w:name w:val="引文 字元"/>
    <w:basedOn w:val="a0"/>
    <w:link w:val="a7"/>
    <w:uiPriority w:val="29"/>
    <w:rsid w:val="00460E9B"/>
    <w:rPr>
      <w:i/>
      <w:iCs/>
      <w:color w:val="404040" w:themeColor="text1" w:themeTint="BF"/>
    </w:rPr>
  </w:style>
  <w:style w:type="paragraph" w:styleId="a9">
    <w:name w:val="List Paragraph"/>
    <w:basedOn w:val="a"/>
    <w:uiPriority w:val="34"/>
    <w:qFormat/>
    <w:rsid w:val="00460E9B"/>
    <w:pPr>
      <w:ind w:left="720"/>
      <w:contextualSpacing/>
    </w:pPr>
  </w:style>
  <w:style w:type="character" w:styleId="aa">
    <w:name w:val="Intense Emphasis"/>
    <w:basedOn w:val="a0"/>
    <w:uiPriority w:val="21"/>
    <w:qFormat/>
    <w:rsid w:val="00460E9B"/>
    <w:rPr>
      <w:i/>
      <w:iCs/>
      <w:color w:val="0F4761" w:themeColor="accent1" w:themeShade="BF"/>
    </w:rPr>
  </w:style>
  <w:style w:type="paragraph" w:styleId="ab">
    <w:name w:val="Intense Quote"/>
    <w:basedOn w:val="a"/>
    <w:next w:val="a"/>
    <w:link w:val="ac"/>
    <w:uiPriority w:val="30"/>
    <w:qFormat/>
    <w:rsid w:val="0046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60E9B"/>
    <w:rPr>
      <w:i/>
      <w:iCs/>
      <w:color w:val="0F4761" w:themeColor="accent1" w:themeShade="BF"/>
    </w:rPr>
  </w:style>
  <w:style w:type="character" w:styleId="ad">
    <w:name w:val="Intense Reference"/>
    <w:basedOn w:val="a0"/>
    <w:uiPriority w:val="32"/>
    <w:qFormat/>
    <w:rsid w:val="00460E9B"/>
    <w:rPr>
      <w:b/>
      <w:bCs/>
      <w:smallCaps/>
      <w:color w:val="0F4761" w:themeColor="accent1" w:themeShade="BF"/>
      <w:spacing w:val="5"/>
    </w:rPr>
  </w:style>
  <w:style w:type="paragraph" w:styleId="ae">
    <w:name w:val="header"/>
    <w:basedOn w:val="a"/>
    <w:link w:val="af"/>
    <w:uiPriority w:val="99"/>
    <w:unhideWhenUsed/>
    <w:rsid w:val="00E41508"/>
    <w:pPr>
      <w:tabs>
        <w:tab w:val="center" w:pos="4153"/>
        <w:tab w:val="right" w:pos="8306"/>
      </w:tabs>
      <w:snapToGrid w:val="0"/>
    </w:pPr>
    <w:rPr>
      <w:sz w:val="20"/>
      <w:szCs w:val="20"/>
    </w:rPr>
  </w:style>
  <w:style w:type="character" w:customStyle="1" w:styleId="af">
    <w:name w:val="頁首 字元"/>
    <w:basedOn w:val="a0"/>
    <w:link w:val="ae"/>
    <w:uiPriority w:val="99"/>
    <w:rsid w:val="00E41508"/>
    <w:rPr>
      <w:sz w:val="20"/>
      <w:szCs w:val="20"/>
    </w:rPr>
  </w:style>
  <w:style w:type="paragraph" w:styleId="af0">
    <w:name w:val="footer"/>
    <w:basedOn w:val="a"/>
    <w:link w:val="af1"/>
    <w:uiPriority w:val="99"/>
    <w:unhideWhenUsed/>
    <w:rsid w:val="00E41508"/>
    <w:pPr>
      <w:tabs>
        <w:tab w:val="center" w:pos="4153"/>
        <w:tab w:val="right" w:pos="8306"/>
      </w:tabs>
      <w:snapToGrid w:val="0"/>
    </w:pPr>
    <w:rPr>
      <w:sz w:val="20"/>
      <w:szCs w:val="20"/>
    </w:rPr>
  </w:style>
  <w:style w:type="character" w:customStyle="1" w:styleId="af1">
    <w:name w:val="頁尾 字元"/>
    <w:basedOn w:val="a0"/>
    <w:link w:val="af0"/>
    <w:uiPriority w:val="99"/>
    <w:rsid w:val="00E41508"/>
    <w:rPr>
      <w:sz w:val="20"/>
      <w:szCs w:val="20"/>
    </w:rPr>
  </w:style>
  <w:style w:type="table" w:styleId="af2">
    <w:name w:val="Table Grid"/>
    <w:basedOn w:val="a1"/>
    <w:uiPriority w:val="39"/>
    <w:rsid w:val="0065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5310">
      <w:bodyDiv w:val="1"/>
      <w:marLeft w:val="0"/>
      <w:marRight w:val="0"/>
      <w:marTop w:val="0"/>
      <w:marBottom w:val="0"/>
      <w:divBdr>
        <w:top w:val="none" w:sz="0" w:space="0" w:color="auto"/>
        <w:left w:val="none" w:sz="0" w:space="0" w:color="auto"/>
        <w:bottom w:val="none" w:sz="0" w:space="0" w:color="auto"/>
        <w:right w:val="none" w:sz="0" w:space="0" w:color="auto"/>
      </w:divBdr>
    </w:div>
    <w:div w:id="47610060">
      <w:bodyDiv w:val="1"/>
      <w:marLeft w:val="0"/>
      <w:marRight w:val="0"/>
      <w:marTop w:val="0"/>
      <w:marBottom w:val="0"/>
      <w:divBdr>
        <w:top w:val="none" w:sz="0" w:space="0" w:color="auto"/>
        <w:left w:val="none" w:sz="0" w:space="0" w:color="auto"/>
        <w:bottom w:val="none" w:sz="0" w:space="0" w:color="auto"/>
        <w:right w:val="none" w:sz="0" w:space="0" w:color="auto"/>
      </w:divBdr>
    </w:div>
    <w:div w:id="211692904">
      <w:bodyDiv w:val="1"/>
      <w:marLeft w:val="0"/>
      <w:marRight w:val="0"/>
      <w:marTop w:val="0"/>
      <w:marBottom w:val="0"/>
      <w:divBdr>
        <w:top w:val="none" w:sz="0" w:space="0" w:color="auto"/>
        <w:left w:val="none" w:sz="0" w:space="0" w:color="auto"/>
        <w:bottom w:val="none" w:sz="0" w:space="0" w:color="auto"/>
        <w:right w:val="none" w:sz="0" w:space="0" w:color="auto"/>
      </w:divBdr>
    </w:div>
    <w:div w:id="230696566">
      <w:bodyDiv w:val="1"/>
      <w:marLeft w:val="0"/>
      <w:marRight w:val="0"/>
      <w:marTop w:val="0"/>
      <w:marBottom w:val="0"/>
      <w:divBdr>
        <w:top w:val="none" w:sz="0" w:space="0" w:color="auto"/>
        <w:left w:val="none" w:sz="0" w:space="0" w:color="auto"/>
        <w:bottom w:val="none" w:sz="0" w:space="0" w:color="auto"/>
        <w:right w:val="none" w:sz="0" w:space="0" w:color="auto"/>
      </w:divBdr>
    </w:div>
    <w:div w:id="244002747">
      <w:bodyDiv w:val="1"/>
      <w:marLeft w:val="0"/>
      <w:marRight w:val="0"/>
      <w:marTop w:val="0"/>
      <w:marBottom w:val="0"/>
      <w:divBdr>
        <w:top w:val="none" w:sz="0" w:space="0" w:color="auto"/>
        <w:left w:val="none" w:sz="0" w:space="0" w:color="auto"/>
        <w:bottom w:val="none" w:sz="0" w:space="0" w:color="auto"/>
        <w:right w:val="none" w:sz="0" w:space="0" w:color="auto"/>
      </w:divBdr>
    </w:div>
    <w:div w:id="618070810">
      <w:bodyDiv w:val="1"/>
      <w:marLeft w:val="0"/>
      <w:marRight w:val="0"/>
      <w:marTop w:val="0"/>
      <w:marBottom w:val="0"/>
      <w:divBdr>
        <w:top w:val="none" w:sz="0" w:space="0" w:color="auto"/>
        <w:left w:val="none" w:sz="0" w:space="0" w:color="auto"/>
        <w:bottom w:val="none" w:sz="0" w:space="0" w:color="auto"/>
        <w:right w:val="none" w:sz="0" w:space="0" w:color="auto"/>
      </w:divBdr>
    </w:div>
    <w:div w:id="703746754">
      <w:bodyDiv w:val="1"/>
      <w:marLeft w:val="0"/>
      <w:marRight w:val="0"/>
      <w:marTop w:val="0"/>
      <w:marBottom w:val="0"/>
      <w:divBdr>
        <w:top w:val="none" w:sz="0" w:space="0" w:color="auto"/>
        <w:left w:val="none" w:sz="0" w:space="0" w:color="auto"/>
        <w:bottom w:val="none" w:sz="0" w:space="0" w:color="auto"/>
        <w:right w:val="none" w:sz="0" w:space="0" w:color="auto"/>
      </w:divBdr>
    </w:div>
    <w:div w:id="802043150">
      <w:bodyDiv w:val="1"/>
      <w:marLeft w:val="0"/>
      <w:marRight w:val="0"/>
      <w:marTop w:val="0"/>
      <w:marBottom w:val="0"/>
      <w:divBdr>
        <w:top w:val="none" w:sz="0" w:space="0" w:color="auto"/>
        <w:left w:val="none" w:sz="0" w:space="0" w:color="auto"/>
        <w:bottom w:val="none" w:sz="0" w:space="0" w:color="auto"/>
        <w:right w:val="none" w:sz="0" w:space="0" w:color="auto"/>
      </w:divBdr>
    </w:div>
    <w:div w:id="822311335">
      <w:bodyDiv w:val="1"/>
      <w:marLeft w:val="0"/>
      <w:marRight w:val="0"/>
      <w:marTop w:val="0"/>
      <w:marBottom w:val="0"/>
      <w:divBdr>
        <w:top w:val="none" w:sz="0" w:space="0" w:color="auto"/>
        <w:left w:val="none" w:sz="0" w:space="0" w:color="auto"/>
        <w:bottom w:val="none" w:sz="0" w:space="0" w:color="auto"/>
        <w:right w:val="none" w:sz="0" w:space="0" w:color="auto"/>
      </w:divBdr>
    </w:div>
    <w:div w:id="1182471502">
      <w:bodyDiv w:val="1"/>
      <w:marLeft w:val="0"/>
      <w:marRight w:val="0"/>
      <w:marTop w:val="0"/>
      <w:marBottom w:val="0"/>
      <w:divBdr>
        <w:top w:val="none" w:sz="0" w:space="0" w:color="auto"/>
        <w:left w:val="none" w:sz="0" w:space="0" w:color="auto"/>
        <w:bottom w:val="none" w:sz="0" w:space="0" w:color="auto"/>
        <w:right w:val="none" w:sz="0" w:space="0" w:color="auto"/>
      </w:divBdr>
    </w:div>
    <w:div w:id="1450930502">
      <w:bodyDiv w:val="1"/>
      <w:marLeft w:val="0"/>
      <w:marRight w:val="0"/>
      <w:marTop w:val="0"/>
      <w:marBottom w:val="0"/>
      <w:divBdr>
        <w:top w:val="none" w:sz="0" w:space="0" w:color="auto"/>
        <w:left w:val="none" w:sz="0" w:space="0" w:color="auto"/>
        <w:bottom w:val="none" w:sz="0" w:space="0" w:color="auto"/>
        <w:right w:val="none" w:sz="0" w:space="0" w:color="auto"/>
      </w:divBdr>
    </w:div>
    <w:div w:id="1905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1429</TotalTime>
  <Pages>16</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B1223</dc:creator>
  <cp:keywords/>
  <dc:description/>
  <cp:lastModifiedBy>B1223</cp:lastModifiedBy>
  <cp:revision>393</cp:revision>
  <cp:lastPrinted>2025-06-11T00:17:00Z</cp:lastPrinted>
  <dcterms:created xsi:type="dcterms:W3CDTF">2025-05-12T04:36:00Z</dcterms:created>
  <dcterms:modified xsi:type="dcterms:W3CDTF">2025-06-16T08:36:00Z</dcterms:modified>
</cp:coreProperties>
</file>